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DA68" w14:textId="3B9C5174" w:rsidR="009723CB" w:rsidRPr="00E755D9" w:rsidRDefault="009723CB" w:rsidP="009723CB">
      <w:pPr>
        <w:jc w:val="center"/>
        <w:rPr>
          <w:rFonts w:ascii="Arial" w:hAnsi="Arial" w:cs="Arial"/>
          <w:b/>
          <w:sz w:val="21"/>
          <w:szCs w:val="21"/>
          <w:lang w:val="fr-CA"/>
        </w:rPr>
      </w:pPr>
      <w:bookmarkStart w:id="0" w:name="_GoBack"/>
      <w:bookmarkEnd w:id="0"/>
    </w:p>
    <w:p w14:paraId="3D5D12F9" w14:textId="653D90E5" w:rsidR="009723CB" w:rsidRPr="00E755D9" w:rsidRDefault="009723CB" w:rsidP="009723CB">
      <w:pPr>
        <w:jc w:val="center"/>
        <w:rPr>
          <w:rFonts w:ascii="Arial" w:hAnsi="Arial" w:cs="Arial"/>
          <w:b/>
          <w:sz w:val="21"/>
          <w:szCs w:val="21"/>
          <w:lang w:val="fr-CA"/>
        </w:rPr>
      </w:pPr>
      <w:bookmarkStart w:id="1" w:name="lt_pId001"/>
      <w:r w:rsidRPr="00E755D9">
        <w:rPr>
          <w:rFonts w:ascii="Arial" w:hAnsi="Arial" w:cs="Arial"/>
          <w:b/>
          <w:sz w:val="21"/>
          <w:szCs w:val="21"/>
          <w:lang w:val="fr-CA"/>
        </w:rPr>
        <w:t>Numéros des Avis sur les règles de l’OCRCVM des publications précédente</w:t>
      </w:r>
      <w:bookmarkEnd w:id="1"/>
      <w:r w:rsidR="00982E83" w:rsidRPr="00E755D9">
        <w:rPr>
          <w:rFonts w:ascii="Arial" w:hAnsi="Arial" w:cs="Arial"/>
          <w:b/>
          <w:sz w:val="21"/>
          <w:szCs w:val="21"/>
          <w:lang w:val="fr-CA"/>
        </w:rPr>
        <w:t>s</w:t>
      </w:r>
      <w:r w:rsidR="001846D4">
        <w:rPr>
          <w:rFonts w:ascii="Arial" w:hAnsi="Arial" w:cs="Arial"/>
          <w:b/>
          <w:sz w:val="21"/>
          <w:szCs w:val="21"/>
          <w:lang w:val="fr-CA"/>
        </w:rPr>
        <w:t xml:space="preserve"> – publication initiale et nouvelles publications</w:t>
      </w:r>
      <w:bookmarkStart w:id="2" w:name="lt_pId002"/>
      <w:r w:rsidR="001846D4">
        <w:rPr>
          <w:rFonts w:ascii="Arial" w:hAnsi="Arial" w:cs="Arial"/>
          <w:b/>
          <w:sz w:val="21"/>
          <w:szCs w:val="21"/>
          <w:lang w:val="fr-CA"/>
        </w:rPr>
        <w:t xml:space="preserve"> </w:t>
      </w:r>
      <w:bookmarkEnd w:id="2"/>
    </w:p>
    <w:p w14:paraId="36ADA397" w14:textId="77777777" w:rsidR="009723CB" w:rsidRPr="00E755D9" w:rsidRDefault="009723CB" w:rsidP="009723CB">
      <w:pPr>
        <w:jc w:val="center"/>
        <w:rPr>
          <w:rFonts w:ascii="Arial" w:hAnsi="Arial" w:cs="Arial"/>
          <w:b/>
          <w:sz w:val="21"/>
          <w:szCs w:val="21"/>
          <w:lang w:val="fr-C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854"/>
        <w:gridCol w:w="3177"/>
      </w:tblGrid>
      <w:tr w:rsidR="00CE01A2" w:rsidRPr="00CA0444" w14:paraId="637819FD" w14:textId="77777777" w:rsidTr="009723CB">
        <w:trPr>
          <w:tblHeader/>
        </w:trPr>
        <w:tc>
          <w:tcPr>
            <w:tcW w:w="177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69961F" w14:textId="77777777" w:rsidR="009723CB" w:rsidRPr="00E755D9" w:rsidRDefault="009723CB" w:rsidP="009723CB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</w:p>
          <w:p w14:paraId="73B0FAED" w14:textId="77777777" w:rsidR="009723CB" w:rsidRPr="00E755D9" w:rsidRDefault="009723CB" w:rsidP="009723CB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  <w:bookmarkStart w:id="3" w:name="lt_pId003"/>
            <w:r w:rsidRPr="00E755D9">
              <w:rPr>
                <w:rFonts w:ascii="Arial" w:hAnsi="Arial" w:cs="Arial"/>
                <w:b/>
                <w:sz w:val="21"/>
                <w:szCs w:val="21"/>
                <w:lang w:val="fr-CA"/>
              </w:rPr>
              <w:t>TRANCHES</w:t>
            </w:r>
            <w:bookmarkEnd w:id="3"/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743DE" w14:textId="77777777" w:rsidR="009723CB" w:rsidRPr="00E755D9" w:rsidRDefault="009723CB" w:rsidP="009723CB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31137989" w14:textId="77777777" w:rsidR="009723CB" w:rsidRPr="00E755D9" w:rsidRDefault="009723CB" w:rsidP="009723CB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  <w:bookmarkStart w:id="4" w:name="lt_pId004"/>
            <w:r w:rsidRPr="00E755D9">
              <w:rPr>
                <w:rFonts w:ascii="Arial" w:hAnsi="Arial" w:cs="Arial"/>
                <w:b/>
                <w:sz w:val="21"/>
                <w:szCs w:val="21"/>
                <w:lang w:val="fr-CA"/>
              </w:rPr>
              <w:t>DATE DE PUBLICATION INITIALE</w:t>
            </w:r>
            <w:bookmarkEnd w:id="4"/>
          </w:p>
        </w:tc>
        <w:tc>
          <w:tcPr>
            <w:tcW w:w="16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A4719" w14:textId="77777777" w:rsidR="009723CB" w:rsidRPr="00E755D9" w:rsidRDefault="009723CB" w:rsidP="009723CB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  <w:p w14:paraId="17F66B1E" w14:textId="77777777" w:rsidR="009723CB" w:rsidRPr="00E755D9" w:rsidRDefault="009723CB" w:rsidP="009723CB">
            <w:pPr>
              <w:spacing w:before="40" w:after="40"/>
              <w:jc w:val="center"/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bookmarkStart w:id="5" w:name="lt_pId005"/>
            <w:r w:rsidRPr="00E755D9">
              <w:rPr>
                <w:rFonts w:ascii="Arial" w:hAnsi="Arial" w:cs="Arial"/>
                <w:b/>
                <w:sz w:val="21"/>
                <w:szCs w:val="21"/>
                <w:lang w:val="fr-CA"/>
              </w:rPr>
              <w:t>DATE(S) DE NOUVELLE PUBLICATION</w:t>
            </w:r>
            <w:bookmarkEnd w:id="5"/>
          </w:p>
        </w:tc>
      </w:tr>
      <w:tr w:rsidR="00CE01A2" w:rsidRPr="00E755D9" w14:paraId="7A98DD94" w14:textId="77777777" w:rsidTr="009723CB">
        <w:tc>
          <w:tcPr>
            <w:tcW w:w="5000" w:type="pct"/>
            <w:gridSpan w:val="3"/>
            <w:tcBorders>
              <w:top w:val="nil"/>
            </w:tcBorders>
            <w:shd w:val="clear" w:color="auto" w:fill="92D050"/>
          </w:tcPr>
          <w:p w14:paraId="1189F2A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42FA2AC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6" w:name="lt_pId006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1000</w:t>
            </w:r>
            <w:bookmarkEnd w:id="6"/>
          </w:p>
          <w:p w14:paraId="628099CB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6D6E34FB" w14:textId="77777777" w:rsidTr="009723CB">
        <w:tc>
          <w:tcPr>
            <w:tcW w:w="1775" w:type="pct"/>
            <w:tcBorders>
              <w:top w:val="nil"/>
            </w:tcBorders>
            <w:shd w:val="clear" w:color="auto" w:fill="auto"/>
          </w:tcPr>
          <w:p w14:paraId="557978F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" w:name="lt_pId00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1100 – Interprétation</w:t>
            </w:r>
            <w:bookmarkEnd w:id="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tcBorders>
              <w:top w:val="nil"/>
            </w:tcBorders>
            <w:shd w:val="clear" w:color="auto" w:fill="auto"/>
          </w:tcPr>
          <w:p w14:paraId="3023766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" w:name="lt_pId00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6 janvier 2012</w:t>
            </w:r>
            <w:bookmarkEnd w:id="8"/>
          </w:p>
          <w:p w14:paraId="5B82F86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" w:name="lt_pId00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12-0005)</w:t>
            </w:r>
            <w:bookmarkEnd w:id="9"/>
          </w:p>
        </w:tc>
        <w:tc>
          <w:tcPr>
            <w:tcW w:w="1699" w:type="pct"/>
            <w:tcBorders>
              <w:top w:val="nil"/>
            </w:tcBorders>
            <w:shd w:val="clear" w:color="auto" w:fill="auto"/>
          </w:tcPr>
          <w:p w14:paraId="4A7F97B3" w14:textId="77777777" w:rsidR="009723CB" w:rsidRPr="00E755D9" w:rsidRDefault="00AB2843" w:rsidP="009723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" w:name="lt_pId01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2018 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Avis de l’OCRCVM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18-0014)</w:t>
            </w:r>
            <w:bookmarkEnd w:id="10"/>
          </w:p>
          <w:p w14:paraId="1BEB8E8A" w14:textId="77777777" w:rsidR="009723CB" w:rsidRPr="00E755D9" w:rsidRDefault="00AB2843" w:rsidP="009723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" w:name="lt_pId01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2017 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Avis de l’OCRCVM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17-0054)</w:t>
            </w:r>
            <w:bookmarkEnd w:id="11"/>
          </w:p>
          <w:p w14:paraId="36C7F5D0" w14:textId="77777777" w:rsidR="009723CB" w:rsidRPr="00E755D9" w:rsidRDefault="00AB2843" w:rsidP="009723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" w:name="lt_pId01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2"/>
          </w:p>
          <w:p w14:paraId="302DF073" w14:textId="7EDE78CD" w:rsidR="009723CB" w:rsidRPr="00E755D9" w:rsidRDefault="009723CB" w:rsidP="009D7BE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" w:name="lt_pId01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9D7BEE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</w:t>
            </w:r>
            <w:r w:rsidR="009D7BEE" w:rsidRPr="00E755D9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0111)</w:t>
            </w:r>
            <w:bookmarkEnd w:id="13"/>
          </w:p>
        </w:tc>
      </w:tr>
      <w:tr w:rsidR="00CE01A2" w:rsidRPr="00CA0444" w14:paraId="008095AD" w14:textId="77777777" w:rsidTr="009723CB">
        <w:tc>
          <w:tcPr>
            <w:tcW w:w="1775" w:type="pct"/>
            <w:shd w:val="clear" w:color="auto" w:fill="auto"/>
          </w:tcPr>
          <w:p w14:paraId="37F36CC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" w:name="lt_pId01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1200 – Définitions</w:t>
            </w:r>
            <w:bookmarkEnd w:id="1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10A10834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" w:name="lt_pId01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6 janvier 2012</w:t>
            </w:r>
            <w:bookmarkEnd w:id="15"/>
          </w:p>
          <w:p w14:paraId="0CC47AA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" w:name="lt_pId01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12-0005)</w:t>
            </w:r>
            <w:bookmarkEnd w:id="16"/>
          </w:p>
        </w:tc>
        <w:tc>
          <w:tcPr>
            <w:tcW w:w="1699" w:type="pct"/>
            <w:shd w:val="clear" w:color="auto" w:fill="auto"/>
          </w:tcPr>
          <w:p w14:paraId="68A2F2C5" w14:textId="77777777" w:rsidR="00AB2843" w:rsidRPr="00E755D9" w:rsidRDefault="00AB2843" w:rsidP="00AB28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4E486B0C" w14:textId="77777777" w:rsidR="00AB2843" w:rsidRPr="00E755D9" w:rsidRDefault="00AB2843" w:rsidP="00AB28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B3F9263" w14:textId="77777777" w:rsidR="009723CB" w:rsidRPr="00E755D9" w:rsidRDefault="009723CB" w:rsidP="00AB28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" w:name="lt_pId01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AB2843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7"/>
          </w:p>
          <w:p w14:paraId="60DFB070" w14:textId="77777777" w:rsidR="009723CB" w:rsidRPr="00E755D9" w:rsidRDefault="00AB2843" w:rsidP="00AB28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" w:name="lt_pId02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8"/>
          </w:p>
        </w:tc>
      </w:tr>
      <w:tr w:rsidR="00CE01A2" w:rsidRPr="00CA0444" w14:paraId="1773C57E" w14:textId="77777777" w:rsidTr="009723CB">
        <w:tc>
          <w:tcPr>
            <w:tcW w:w="1775" w:type="pct"/>
            <w:shd w:val="clear" w:color="auto" w:fill="auto"/>
          </w:tcPr>
          <w:p w14:paraId="5FFAD14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9" w:name="lt_pId02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1300 – Pouvoirs de l’OCRCVM en matière de dispense</w:t>
            </w:r>
            <w:bookmarkEnd w:id="1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343BA34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" w:name="lt_pId02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6 janvier 2012</w:t>
            </w:r>
            <w:bookmarkEnd w:id="20"/>
          </w:p>
          <w:p w14:paraId="6EF3C437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1" w:name="lt_pId02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12-0005)</w:t>
            </w:r>
            <w:bookmarkEnd w:id="21"/>
          </w:p>
        </w:tc>
        <w:tc>
          <w:tcPr>
            <w:tcW w:w="1699" w:type="pct"/>
            <w:shd w:val="clear" w:color="auto" w:fill="auto"/>
          </w:tcPr>
          <w:p w14:paraId="18BB61A0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679D037A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0D9B3CAF" w14:textId="77777777" w:rsidR="009723CB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2" w:name="lt_pId02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22"/>
          </w:p>
        </w:tc>
      </w:tr>
      <w:tr w:rsidR="00CE01A2" w:rsidRPr="00CA0444" w14:paraId="7EADC695" w14:textId="77777777" w:rsidTr="009723CB">
        <w:tc>
          <w:tcPr>
            <w:tcW w:w="1775" w:type="pct"/>
            <w:shd w:val="clear" w:color="auto" w:fill="auto"/>
          </w:tcPr>
          <w:p w14:paraId="4F6C23E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3" w:name="lt_pId02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1400 – Normes de conduite</w:t>
            </w:r>
            <w:bookmarkEnd w:id="2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02AB1AE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4" w:name="lt_pId02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6 janvier 2012</w:t>
            </w:r>
            <w:bookmarkEnd w:id="24"/>
          </w:p>
          <w:p w14:paraId="79350283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5" w:name="lt_pId02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12-0005)</w:t>
            </w:r>
            <w:bookmarkEnd w:id="25"/>
          </w:p>
        </w:tc>
        <w:tc>
          <w:tcPr>
            <w:tcW w:w="1699" w:type="pct"/>
            <w:shd w:val="clear" w:color="auto" w:fill="auto"/>
          </w:tcPr>
          <w:p w14:paraId="01AE4492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5894B84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F22BC74" w14:textId="77777777" w:rsidR="009723CB" w:rsidRPr="00E755D9" w:rsidRDefault="009723CB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6" w:name="lt_pId03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AB2843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26"/>
          </w:p>
          <w:p w14:paraId="02A49326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7" w:name="lt_pId03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27"/>
          </w:p>
        </w:tc>
      </w:tr>
      <w:tr w:rsidR="00CE01A2" w:rsidRPr="00CA0444" w14:paraId="34D4DD64" w14:textId="77777777" w:rsidTr="009723CB">
        <w:tc>
          <w:tcPr>
            <w:tcW w:w="1775" w:type="pct"/>
            <w:shd w:val="clear" w:color="auto" w:fill="auto"/>
          </w:tcPr>
          <w:p w14:paraId="6BA841A8" w14:textId="49321F14" w:rsidR="009723CB" w:rsidRPr="00E755D9" w:rsidRDefault="009723CB" w:rsidP="00F20CF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8" w:name="lt_pId03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1500 – Gestion des catégories de risques important</w:t>
            </w:r>
            <w:r w:rsidR="00F20CF3" w:rsidRPr="00E755D9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bookmarkEnd w:id="28"/>
          </w:p>
        </w:tc>
        <w:tc>
          <w:tcPr>
            <w:tcW w:w="1526" w:type="pct"/>
            <w:shd w:val="clear" w:color="auto" w:fill="auto"/>
          </w:tcPr>
          <w:p w14:paraId="30EBC0CB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9" w:name="lt_pId03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s. o.</w:t>
            </w:r>
            <w:bookmarkEnd w:id="29"/>
          </w:p>
        </w:tc>
        <w:tc>
          <w:tcPr>
            <w:tcW w:w="1699" w:type="pct"/>
            <w:shd w:val="clear" w:color="auto" w:fill="auto"/>
          </w:tcPr>
          <w:p w14:paraId="5F5001D6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B6363A2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EF1FF1D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0" w:name="lt_pId03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30"/>
          </w:p>
        </w:tc>
      </w:tr>
      <w:tr w:rsidR="00CE01A2" w:rsidRPr="00E755D9" w14:paraId="052A268F" w14:textId="77777777" w:rsidTr="009723CB">
        <w:tc>
          <w:tcPr>
            <w:tcW w:w="5000" w:type="pct"/>
            <w:gridSpan w:val="3"/>
            <w:shd w:val="clear" w:color="auto" w:fill="92D050"/>
          </w:tcPr>
          <w:p w14:paraId="653E27B5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1C86378D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31" w:name="lt_pId039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2000</w:t>
            </w:r>
            <w:bookmarkEnd w:id="31"/>
          </w:p>
          <w:p w14:paraId="640DEC2B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04638BBD" w14:textId="77777777" w:rsidTr="009723CB">
        <w:tc>
          <w:tcPr>
            <w:tcW w:w="1775" w:type="pct"/>
            <w:shd w:val="clear" w:color="auto" w:fill="auto"/>
          </w:tcPr>
          <w:p w14:paraId="3D15F5DF" w14:textId="77777777" w:rsidR="009723CB" w:rsidRPr="00E755D9" w:rsidRDefault="00231E0F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2" w:name="lt_pId04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Règle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2100 – Propriété des titres du courtier membre</w:t>
            </w:r>
            <w:bookmarkEnd w:id="32"/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0E862F27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3" w:name="lt_pId04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33"/>
          </w:p>
          <w:p w14:paraId="4CCB950D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4" w:name="lt_pId04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34"/>
          </w:p>
        </w:tc>
        <w:tc>
          <w:tcPr>
            <w:tcW w:w="1699" w:type="pct"/>
            <w:shd w:val="clear" w:color="auto" w:fill="auto"/>
          </w:tcPr>
          <w:p w14:paraId="3922022B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68B9FB6B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1EF22DE" w14:textId="77777777" w:rsidR="009723CB" w:rsidRPr="00E755D9" w:rsidRDefault="00AB2843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5" w:name="lt_pId04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35"/>
          </w:p>
          <w:p w14:paraId="0E19872D" w14:textId="22DF2001" w:rsidR="009723CB" w:rsidRPr="00E755D9" w:rsidRDefault="009723CB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6" w:name="lt_pId04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F20CF3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36"/>
          </w:p>
        </w:tc>
      </w:tr>
      <w:tr w:rsidR="00CE01A2" w:rsidRPr="00CA0444" w14:paraId="0B188F4D" w14:textId="77777777" w:rsidTr="009723CB">
        <w:tc>
          <w:tcPr>
            <w:tcW w:w="1775" w:type="pct"/>
            <w:shd w:val="clear" w:color="auto" w:fill="auto"/>
          </w:tcPr>
          <w:p w14:paraId="79F48296" w14:textId="0D4C9D6D" w:rsidR="009723CB" w:rsidRPr="00E755D9" w:rsidRDefault="002415BC" w:rsidP="00F20CF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7" w:name="lt_pId04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2200 – </w:t>
            </w:r>
            <w:r w:rsidR="00F20CF3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Structure du courtier membre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anciennement </w:t>
            </w:r>
            <w:r w:rsidR="001C4117" w:rsidRPr="00E755D9">
              <w:rPr>
                <w:rFonts w:ascii="Arial" w:hAnsi="Arial" w:cs="Arial"/>
                <w:sz w:val="20"/>
                <w:szCs w:val="20"/>
                <w:lang w:val="fr-CA"/>
              </w:rPr>
              <w:t>articles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2150-2399)</w:t>
            </w:r>
            <w:bookmarkEnd w:id="37"/>
          </w:p>
        </w:tc>
        <w:tc>
          <w:tcPr>
            <w:tcW w:w="1526" w:type="pct"/>
            <w:shd w:val="clear" w:color="auto" w:fill="auto"/>
          </w:tcPr>
          <w:p w14:paraId="3442A5C9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8" w:name="lt_pId04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38"/>
          </w:p>
          <w:p w14:paraId="7BDEDC12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39" w:name="lt_pId04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39"/>
          </w:p>
        </w:tc>
        <w:tc>
          <w:tcPr>
            <w:tcW w:w="1699" w:type="pct"/>
            <w:shd w:val="clear" w:color="auto" w:fill="auto"/>
          </w:tcPr>
          <w:p w14:paraId="2FAD8664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2F097AE1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19BBC755" w14:textId="77777777" w:rsidR="00AB2843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  <w:bookmarkStart w:id="40" w:name="lt_pId053"/>
          </w:p>
          <w:p w14:paraId="53DAC731" w14:textId="77777777" w:rsidR="009723CB" w:rsidRPr="00E755D9" w:rsidRDefault="009723CB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 de fond publiée le 27 juin 2013 (Avis de l’OCRCVM 13-0174)</w:t>
            </w:r>
            <w:bookmarkEnd w:id="40"/>
          </w:p>
        </w:tc>
      </w:tr>
      <w:tr w:rsidR="00CE01A2" w:rsidRPr="00CA0444" w14:paraId="69A834B6" w14:textId="77777777" w:rsidTr="009723CB">
        <w:tc>
          <w:tcPr>
            <w:tcW w:w="1775" w:type="pct"/>
            <w:shd w:val="clear" w:color="auto" w:fill="auto"/>
          </w:tcPr>
          <w:p w14:paraId="483E310C" w14:textId="3A996048" w:rsidR="009723CB" w:rsidRPr="00E755D9" w:rsidRDefault="00231E0F" w:rsidP="00F20CF3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1" w:name="lt_pId05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2300 – 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Relation mandant-mandataire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="002415BC" w:rsidRPr="00E755D9">
              <w:rPr>
                <w:rFonts w:ascii="Arial" w:hAnsi="Arial" w:cs="Arial"/>
                <w:sz w:val="20"/>
                <w:szCs w:val="20"/>
                <w:lang w:val="fr-CA"/>
              </w:rPr>
              <w:t>anciennement</w:t>
            </w:r>
            <w:r w:rsidR="00F20CF3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R</w:t>
            </w:r>
            <w:r w:rsidR="002415BC" w:rsidRPr="00E755D9">
              <w:rPr>
                <w:rFonts w:ascii="Arial" w:hAnsi="Arial" w:cs="Arial"/>
                <w:sz w:val="20"/>
                <w:szCs w:val="20"/>
                <w:lang w:val="fr-CA"/>
              </w:rPr>
              <w:t>ègle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2400)</w:t>
            </w:r>
            <w:bookmarkEnd w:id="41"/>
          </w:p>
        </w:tc>
        <w:tc>
          <w:tcPr>
            <w:tcW w:w="1526" w:type="pct"/>
            <w:shd w:val="clear" w:color="auto" w:fill="auto"/>
          </w:tcPr>
          <w:p w14:paraId="14EC7C6B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2" w:name="lt_pId05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42"/>
          </w:p>
          <w:p w14:paraId="4F6DCD4B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3" w:name="lt_pId05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43"/>
          </w:p>
        </w:tc>
        <w:tc>
          <w:tcPr>
            <w:tcW w:w="1699" w:type="pct"/>
            <w:shd w:val="clear" w:color="auto" w:fill="auto"/>
          </w:tcPr>
          <w:p w14:paraId="42698778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657EDC89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EDF5AB8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7F542185" w14:textId="77777777" w:rsidTr="009723CB">
        <w:tc>
          <w:tcPr>
            <w:tcW w:w="1775" w:type="pct"/>
            <w:shd w:val="clear" w:color="auto" w:fill="auto"/>
          </w:tcPr>
          <w:p w14:paraId="74FB0B39" w14:textId="77777777" w:rsidR="009723CB" w:rsidRPr="00E755D9" w:rsidRDefault="002415BC" w:rsidP="00231E0F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4" w:name="lt_pId06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2400 – </w:t>
            </w:r>
            <w:r w:rsidR="00231E0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Accords acceptables concernant les services administratifs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anciennement 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2450)</w:t>
            </w:r>
            <w:bookmarkEnd w:id="44"/>
          </w:p>
        </w:tc>
        <w:tc>
          <w:tcPr>
            <w:tcW w:w="1526" w:type="pct"/>
            <w:shd w:val="clear" w:color="auto" w:fill="auto"/>
          </w:tcPr>
          <w:p w14:paraId="5DEA7321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5" w:name="lt_pId06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45"/>
          </w:p>
          <w:p w14:paraId="064FA8B6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6" w:name="lt_pId06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46"/>
          </w:p>
        </w:tc>
        <w:tc>
          <w:tcPr>
            <w:tcW w:w="1699" w:type="pct"/>
            <w:shd w:val="clear" w:color="auto" w:fill="auto"/>
          </w:tcPr>
          <w:p w14:paraId="3907FAED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02322168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583834F3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3623BAB4" w14:textId="77777777" w:rsidTr="009723CB">
        <w:tc>
          <w:tcPr>
            <w:tcW w:w="1775" w:type="pct"/>
            <w:shd w:val="clear" w:color="auto" w:fill="auto"/>
          </w:tcPr>
          <w:p w14:paraId="5996FAF4" w14:textId="49F0FC7A" w:rsidR="009723CB" w:rsidRPr="00E755D9" w:rsidRDefault="002415BC" w:rsidP="00C81BC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7" w:name="lt_pId06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2500 – </w:t>
            </w:r>
            <w:r w:rsidR="00C81BC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Inscription des personnes autorisées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anciennement Règles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2500 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2550)</w:t>
            </w:r>
            <w:bookmarkEnd w:id="47"/>
          </w:p>
        </w:tc>
        <w:tc>
          <w:tcPr>
            <w:tcW w:w="1526" w:type="pct"/>
            <w:shd w:val="clear" w:color="auto" w:fill="auto"/>
          </w:tcPr>
          <w:p w14:paraId="1026446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8" w:name="lt_pId06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48"/>
          </w:p>
          <w:p w14:paraId="271BBEA6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49" w:name="lt_pId06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49"/>
          </w:p>
        </w:tc>
        <w:tc>
          <w:tcPr>
            <w:tcW w:w="1699" w:type="pct"/>
            <w:shd w:val="clear" w:color="auto" w:fill="auto"/>
          </w:tcPr>
          <w:p w14:paraId="6E6DB0DB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0126B780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55A5961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613DAEBA" w14:textId="77777777" w:rsidTr="009723CB">
        <w:tc>
          <w:tcPr>
            <w:tcW w:w="1775" w:type="pct"/>
            <w:shd w:val="clear" w:color="auto" w:fill="auto"/>
          </w:tcPr>
          <w:p w14:paraId="13BE4FE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0" w:name="lt_pId07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2600 – Compétences requises et dispenses s’appliquant aux catégories de compétences</w:t>
            </w:r>
            <w:bookmarkEnd w:id="50"/>
          </w:p>
        </w:tc>
        <w:tc>
          <w:tcPr>
            <w:tcW w:w="1526" w:type="pct"/>
            <w:shd w:val="clear" w:color="auto" w:fill="auto"/>
          </w:tcPr>
          <w:p w14:paraId="070B1EF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1" w:name="lt_pId07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51"/>
          </w:p>
          <w:p w14:paraId="50AFB45C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2" w:name="lt_pId07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52"/>
          </w:p>
        </w:tc>
        <w:tc>
          <w:tcPr>
            <w:tcW w:w="1699" w:type="pct"/>
            <w:shd w:val="clear" w:color="auto" w:fill="auto"/>
          </w:tcPr>
          <w:p w14:paraId="7FA703F6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454FECB4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26388471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3" w:name="lt_pId07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53"/>
          </w:p>
        </w:tc>
      </w:tr>
      <w:tr w:rsidR="00CE01A2" w:rsidRPr="00CA0444" w14:paraId="77ED4806" w14:textId="77777777" w:rsidTr="009723CB">
        <w:tc>
          <w:tcPr>
            <w:tcW w:w="1775" w:type="pct"/>
            <w:shd w:val="clear" w:color="auto" w:fill="auto"/>
          </w:tcPr>
          <w:p w14:paraId="166500F2" w14:textId="77777777" w:rsidR="009723CB" w:rsidRPr="00E755D9" w:rsidRDefault="002415BC" w:rsidP="002415B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4" w:name="lt_pId07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2700 – 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Exigences de formation continue s’appliquant aux personnes autorisées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anciennement 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2650)</w:t>
            </w:r>
            <w:bookmarkEnd w:id="54"/>
          </w:p>
        </w:tc>
        <w:tc>
          <w:tcPr>
            <w:tcW w:w="1526" w:type="pct"/>
            <w:shd w:val="clear" w:color="auto" w:fill="auto"/>
          </w:tcPr>
          <w:p w14:paraId="3BE2028E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5" w:name="lt_pId07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55"/>
          </w:p>
          <w:p w14:paraId="6888D5BA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6" w:name="lt_pId08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56"/>
          </w:p>
        </w:tc>
        <w:tc>
          <w:tcPr>
            <w:tcW w:w="1699" w:type="pct"/>
            <w:shd w:val="clear" w:color="auto" w:fill="auto"/>
          </w:tcPr>
          <w:p w14:paraId="647C4019" w14:textId="77777777" w:rsidR="009723CB" w:rsidRPr="00E755D9" w:rsidRDefault="00AB2843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7" w:name="lt_pId08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Version complète publiée le 30 novembre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2017 (</w:t>
            </w:r>
            <w:r w:rsidR="003465B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Avis de l’OCRCVM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17-02</w:t>
            </w:r>
            <w:r w:rsidR="000C2121" w:rsidRPr="00E755D9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3)</w:t>
            </w:r>
            <w:bookmarkEnd w:id="57"/>
          </w:p>
          <w:p w14:paraId="0DB3DEC5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875DD52" w14:textId="77777777" w:rsidR="009723CB" w:rsidRPr="00E755D9" w:rsidRDefault="00AB2843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8" w:name="lt_pId08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58"/>
          </w:p>
          <w:p w14:paraId="6CB85DA4" w14:textId="77777777" w:rsidR="009723CB" w:rsidRPr="00E755D9" w:rsidRDefault="009723CB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59" w:name="lt_pId08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de précision publiées le 30 mars 2012 (Avis de l’OCRCVM 12-0111)</w:t>
            </w:r>
            <w:bookmarkEnd w:id="59"/>
          </w:p>
        </w:tc>
      </w:tr>
      <w:tr w:rsidR="00CE01A2" w:rsidRPr="00CA0444" w14:paraId="62A42953" w14:textId="77777777" w:rsidTr="009723CB">
        <w:tc>
          <w:tcPr>
            <w:tcW w:w="1775" w:type="pct"/>
            <w:shd w:val="clear" w:color="auto" w:fill="auto"/>
          </w:tcPr>
          <w:p w14:paraId="64F0FA4D" w14:textId="5C90E5EB" w:rsidR="009723CB" w:rsidRPr="00E755D9" w:rsidRDefault="002415BC" w:rsidP="002415B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0" w:name="lt_pId08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2800 – 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La </w:t>
            </w:r>
            <w:r w:rsidR="00C81BC0" w:rsidRPr="00E755D9">
              <w:rPr>
                <w:rFonts w:ascii="Arial" w:hAnsi="Arial" w:cs="Arial"/>
                <w:sz w:val="20"/>
                <w:szCs w:val="20"/>
                <w:lang w:val="fr-CA"/>
              </w:rPr>
              <w:t>B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ase de données nationale d’inscription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anciennement Règle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2700)</w:t>
            </w:r>
            <w:bookmarkEnd w:id="60"/>
          </w:p>
        </w:tc>
        <w:tc>
          <w:tcPr>
            <w:tcW w:w="1526" w:type="pct"/>
            <w:shd w:val="clear" w:color="auto" w:fill="auto"/>
          </w:tcPr>
          <w:p w14:paraId="0BBF3A03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1" w:name="lt_pId08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11 février 2011</w:t>
            </w:r>
            <w:bookmarkEnd w:id="61"/>
          </w:p>
          <w:p w14:paraId="422136FE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2" w:name="lt_pId08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11-0061)</w:t>
            </w:r>
            <w:bookmarkEnd w:id="62"/>
          </w:p>
        </w:tc>
        <w:tc>
          <w:tcPr>
            <w:tcW w:w="1699" w:type="pct"/>
            <w:shd w:val="clear" w:color="auto" w:fill="auto"/>
          </w:tcPr>
          <w:p w14:paraId="0F478711" w14:textId="77777777" w:rsidR="00AB2843" w:rsidRPr="00E755D9" w:rsidRDefault="00AB2843" w:rsidP="00AB28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6155404" w14:textId="77777777" w:rsidR="009723CB" w:rsidRPr="00E755D9" w:rsidRDefault="00AB2843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3" w:name="lt_pId08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63"/>
          </w:p>
          <w:p w14:paraId="04A4AF63" w14:textId="77777777" w:rsidR="009723CB" w:rsidRDefault="009723CB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4" w:name="lt_pId09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Modifications de précision publiées le 30 mars 2012 (Avis de l’OCRCVM </w:t>
            </w:r>
            <w:r w:rsidR="0079215D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64"/>
          </w:p>
          <w:p w14:paraId="7CDB059A" w14:textId="77777777" w:rsidR="007425E5" w:rsidRDefault="007425E5" w:rsidP="007425E5">
            <w:pPr>
              <w:pStyle w:val="ListParagraph"/>
              <w:keepNext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699C94C" w14:textId="77777777" w:rsidR="007425E5" w:rsidRDefault="007425E5" w:rsidP="007425E5">
            <w:pPr>
              <w:pStyle w:val="ListParagraph"/>
              <w:keepNext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5F85B16" w14:textId="77777777" w:rsidR="007425E5" w:rsidRDefault="007425E5" w:rsidP="007425E5">
            <w:pPr>
              <w:pStyle w:val="ListParagraph"/>
              <w:keepNext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B450A2D" w14:textId="2F76A72E" w:rsidR="007425E5" w:rsidRPr="00E755D9" w:rsidRDefault="007425E5" w:rsidP="007425E5">
            <w:pPr>
              <w:pStyle w:val="ListParagraph"/>
              <w:keepNext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4673D5F0" w14:textId="77777777" w:rsidTr="009723CB">
        <w:tc>
          <w:tcPr>
            <w:tcW w:w="5000" w:type="pct"/>
            <w:gridSpan w:val="3"/>
            <w:shd w:val="clear" w:color="auto" w:fill="92D050"/>
          </w:tcPr>
          <w:p w14:paraId="4ED25235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5A89B29" w14:textId="77777777" w:rsidR="009723CB" w:rsidRPr="00E755D9" w:rsidRDefault="009723CB" w:rsidP="009723CB">
            <w:pPr>
              <w:keepNext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65" w:name="lt_pId091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3000</w:t>
            </w:r>
            <w:bookmarkEnd w:id="65"/>
          </w:p>
          <w:p w14:paraId="605560EA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557C58EB" w14:textId="77777777" w:rsidTr="009723CB">
        <w:tc>
          <w:tcPr>
            <w:tcW w:w="1775" w:type="pct"/>
            <w:shd w:val="clear" w:color="auto" w:fill="auto"/>
          </w:tcPr>
          <w:p w14:paraId="64E3255D" w14:textId="77777777" w:rsidR="009723CB" w:rsidRPr="00E755D9" w:rsidRDefault="00982E83" w:rsidP="002935FD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6" w:name="lt_pId09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3100 – </w:t>
            </w:r>
            <w:bookmarkEnd w:id="66"/>
            <w:r w:rsidR="002935FD" w:rsidRPr="00E755D9">
              <w:rPr>
                <w:rFonts w:ascii="Arial" w:hAnsi="Arial" w:cs="Arial"/>
                <w:sz w:val="20"/>
                <w:szCs w:val="20"/>
                <w:lang w:val="fr-CA"/>
              </w:rPr>
              <w:t>Relations avec les clients</w:t>
            </w:r>
          </w:p>
        </w:tc>
        <w:tc>
          <w:tcPr>
            <w:tcW w:w="1526" w:type="pct"/>
            <w:shd w:val="clear" w:color="auto" w:fill="auto"/>
          </w:tcPr>
          <w:p w14:paraId="791D3E11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7" w:name="lt_pId09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26 mars 2010</w:t>
            </w:r>
            <w:bookmarkEnd w:id="67"/>
          </w:p>
          <w:p w14:paraId="71E317D8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8" w:name="lt_pId09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10-0085)</w:t>
            </w:r>
            <w:bookmarkEnd w:id="68"/>
          </w:p>
        </w:tc>
        <w:tc>
          <w:tcPr>
            <w:tcW w:w="1699" w:type="pct"/>
            <w:shd w:val="clear" w:color="auto" w:fill="auto"/>
          </w:tcPr>
          <w:p w14:paraId="3016BB78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7322CA20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18B11E2C" w14:textId="77777777" w:rsidR="009723CB" w:rsidRPr="00E755D9" w:rsidRDefault="006132FE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69" w:name="lt_pId09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69"/>
          </w:p>
          <w:p w14:paraId="5DDF2ADD" w14:textId="17E7E5D6" w:rsidR="009723CB" w:rsidRPr="00E755D9" w:rsidRDefault="009723CB" w:rsidP="009723CB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0" w:name="lt_pId09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79215D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70"/>
          </w:p>
        </w:tc>
      </w:tr>
      <w:tr w:rsidR="00CE01A2" w:rsidRPr="00CA0444" w14:paraId="653B716D" w14:textId="77777777" w:rsidTr="009723CB">
        <w:tc>
          <w:tcPr>
            <w:tcW w:w="1775" w:type="pct"/>
            <w:shd w:val="clear" w:color="auto" w:fill="auto"/>
          </w:tcPr>
          <w:p w14:paraId="1E6C1A25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1" w:name="lt_pId09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3200 – Comptes de clients</w:t>
            </w:r>
            <w:bookmarkEnd w:id="71"/>
          </w:p>
        </w:tc>
        <w:tc>
          <w:tcPr>
            <w:tcW w:w="1526" w:type="pct"/>
            <w:shd w:val="clear" w:color="auto" w:fill="auto"/>
          </w:tcPr>
          <w:p w14:paraId="3433D110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2" w:name="lt_pId10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26 mars 2010</w:t>
            </w:r>
            <w:bookmarkEnd w:id="72"/>
          </w:p>
          <w:p w14:paraId="42E82190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3" w:name="lt_pId10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10-0085)</w:t>
            </w:r>
            <w:bookmarkEnd w:id="73"/>
          </w:p>
        </w:tc>
        <w:tc>
          <w:tcPr>
            <w:tcW w:w="1699" w:type="pct"/>
            <w:shd w:val="clear" w:color="auto" w:fill="auto"/>
          </w:tcPr>
          <w:p w14:paraId="5E5C677A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9FAAF2E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11F34DA" w14:textId="77777777" w:rsidR="009723CB" w:rsidRPr="00E755D9" w:rsidRDefault="006132FE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4" w:name="lt_pId10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74"/>
          </w:p>
        </w:tc>
      </w:tr>
      <w:tr w:rsidR="00CE01A2" w:rsidRPr="00CA0444" w14:paraId="49953988" w14:textId="77777777" w:rsidTr="009723CB">
        <w:tc>
          <w:tcPr>
            <w:tcW w:w="1775" w:type="pct"/>
            <w:shd w:val="clear" w:color="auto" w:fill="auto"/>
          </w:tcPr>
          <w:p w14:paraId="347B4175" w14:textId="77777777" w:rsidR="009723CB" w:rsidRPr="00E755D9" w:rsidRDefault="009723CB" w:rsidP="009723CB">
            <w:pPr>
              <w:rPr>
                <w:sz w:val="20"/>
                <w:szCs w:val="20"/>
                <w:lang w:val="fr-CA"/>
              </w:rPr>
            </w:pPr>
            <w:bookmarkStart w:id="75" w:name="lt_pId10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3400 – Convenance</w:t>
            </w:r>
            <w:bookmarkEnd w:id="75"/>
          </w:p>
        </w:tc>
        <w:tc>
          <w:tcPr>
            <w:tcW w:w="1526" w:type="pct"/>
            <w:shd w:val="clear" w:color="auto" w:fill="auto"/>
          </w:tcPr>
          <w:p w14:paraId="778AFDB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6" w:name="lt_pId10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76"/>
          </w:p>
          <w:p w14:paraId="2A33677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7" w:name="lt_pId10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10-0266)</w:t>
            </w:r>
            <w:bookmarkEnd w:id="77"/>
          </w:p>
        </w:tc>
        <w:tc>
          <w:tcPr>
            <w:tcW w:w="1699" w:type="pct"/>
            <w:shd w:val="clear" w:color="auto" w:fill="auto"/>
          </w:tcPr>
          <w:p w14:paraId="1115E760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05A13DC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6AB8AB6C" w14:textId="77777777" w:rsidR="009723CB" w:rsidRPr="00E755D9" w:rsidRDefault="006132FE" w:rsidP="00972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8" w:name="lt_pId11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78"/>
          </w:p>
        </w:tc>
      </w:tr>
      <w:tr w:rsidR="00CE01A2" w:rsidRPr="00CA0444" w14:paraId="079DAD16" w14:textId="77777777" w:rsidTr="009723CB">
        <w:tc>
          <w:tcPr>
            <w:tcW w:w="1775" w:type="pct"/>
            <w:shd w:val="clear" w:color="auto" w:fill="auto"/>
          </w:tcPr>
          <w:p w14:paraId="7CCCF470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79" w:name="lt_pId11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3500 – Pratiques commerciales liées aux ventes</w:t>
            </w:r>
            <w:bookmarkEnd w:id="79"/>
          </w:p>
        </w:tc>
        <w:tc>
          <w:tcPr>
            <w:tcW w:w="1526" w:type="pct"/>
            <w:shd w:val="clear" w:color="auto" w:fill="auto"/>
          </w:tcPr>
          <w:p w14:paraId="5DCA6B5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0" w:name="lt_pId11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80"/>
          </w:p>
          <w:p w14:paraId="3983DB5E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1" w:name="lt_pId11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10-0266)</w:t>
            </w:r>
            <w:bookmarkEnd w:id="81"/>
          </w:p>
        </w:tc>
        <w:tc>
          <w:tcPr>
            <w:tcW w:w="1699" w:type="pct"/>
            <w:shd w:val="clear" w:color="auto" w:fill="auto"/>
          </w:tcPr>
          <w:p w14:paraId="12836FEE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5769BB93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0E4DE680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2" w:name="lt_pId11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82"/>
          </w:p>
          <w:p w14:paraId="5D9065C9" w14:textId="77777777" w:rsidR="009723CB" w:rsidRPr="00E755D9" w:rsidRDefault="009723CB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3" w:name="lt_pId11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de précision publiées le 30 mars 2012 (Avis de l’OCRCVM 12-0111)</w:t>
            </w:r>
            <w:bookmarkEnd w:id="83"/>
          </w:p>
        </w:tc>
      </w:tr>
      <w:tr w:rsidR="00CE01A2" w:rsidRPr="00CA0444" w14:paraId="089AD118" w14:textId="77777777" w:rsidTr="009723CB">
        <w:tc>
          <w:tcPr>
            <w:tcW w:w="1775" w:type="pct"/>
            <w:shd w:val="clear" w:color="auto" w:fill="auto"/>
          </w:tcPr>
          <w:p w14:paraId="4705C90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4" w:name="lt_pId11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3600 – Communications avec le public</w:t>
            </w:r>
            <w:bookmarkEnd w:id="84"/>
          </w:p>
        </w:tc>
        <w:tc>
          <w:tcPr>
            <w:tcW w:w="1526" w:type="pct"/>
            <w:shd w:val="clear" w:color="auto" w:fill="auto"/>
          </w:tcPr>
          <w:p w14:paraId="43FE1FE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5" w:name="lt_pId11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85"/>
          </w:p>
          <w:p w14:paraId="071AE59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6" w:name="lt_pId12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10-0266)</w:t>
            </w:r>
            <w:bookmarkEnd w:id="86"/>
          </w:p>
        </w:tc>
        <w:tc>
          <w:tcPr>
            <w:tcW w:w="1699" w:type="pct"/>
            <w:shd w:val="clear" w:color="auto" w:fill="auto"/>
          </w:tcPr>
          <w:p w14:paraId="2DE7AC2D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2BC502A8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003A55F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7" w:name="lt_pId12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87"/>
          </w:p>
          <w:p w14:paraId="66EC0C25" w14:textId="77777777" w:rsidR="009723CB" w:rsidRPr="00E755D9" w:rsidRDefault="009723CB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8" w:name="lt_pId12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de précision publiées le 30 mars 2012 (Avis de l’OCRCVM 12-0111)</w:t>
            </w:r>
            <w:bookmarkEnd w:id="88"/>
          </w:p>
        </w:tc>
      </w:tr>
      <w:tr w:rsidR="00CE01A2" w:rsidRPr="00CA0444" w14:paraId="5A35A6F5" w14:textId="77777777" w:rsidTr="009723CB">
        <w:tc>
          <w:tcPr>
            <w:tcW w:w="1775" w:type="pct"/>
            <w:shd w:val="clear" w:color="auto" w:fill="auto"/>
          </w:tcPr>
          <w:p w14:paraId="36543D8B" w14:textId="1CD7DAA5" w:rsidR="009723CB" w:rsidRPr="00E755D9" w:rsidRDefault="009723CB" w:rsidP="00516DD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89" w:name="lt_pId12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3700 – Signalement et traitement des plaintes</w:t>
            </w:r>
            <w:r w:rsidR="00516DDA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et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91EFD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des 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enquêtes internes</w:t>
            </w:r>
            <w:r w:rsidR="00516DDA" w:rsidRPr="00E755D9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et autres cas à signaler</w:t>
            </w:r>
            <w:bookmarkEnd w:id="89"/>
          </w:p>
        </w:tc>
        <w:tc>
          <w:tcPr>
            <w:tcW w:w="1526" w:type="pct"/>
            <w:shd w:val="clear" w:color="auto" w:fill="auto"/>
          </w:tcPr>
          <w:p w14:paraId="58C9BD55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0" w:name="lt_pId12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90"/>
          </w:p>
          <w:p w14:paraId="4E715CCA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1" w:name="lt_pId12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10-0266)</w:t>
            </w:r>
            <w:bookmarkEnd w:id="91"/>
          </w:p>
        </w:tc>
        <w:tc>
          <w:tcPr>
            <w:tcW w:w="1699" w:type="pct"/>
            <w:shd w:val="clear" w:color="auto" w:fill="auto"/>
          </w:tcPr>
          <w:p w14:paraId="6E019556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4DCAE9EB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7C7CC8F0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2" w:name="lt_pId13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92"/>
          </w:p>
        </w:tc>
      </w:tr>
      <w:tr w:rsidR="00CE01A2" w:rsidRPr="00CA0444" w14:paraId="1FB835B7" w14:textId="77777777" w:rsidTr="009723CB">
        <w:tc>
          <w:tcPr>
            <w:tcW w:w="1775" w:type="pct"/>
            <w:shd w:val="clear" w:color="auto" w:fill="auto"/>
          </w:tcPr>
          <w:p w14:paraId="5752E3F0" w14:textId="77777777" w:rsidR="009723CB" w:rsidRPr="00E755D9" w:rsidRDefault="00982E83" w:rsidP="002935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3" w:name="lt_pId13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3800 – </w:t>
            </w:r>
            <w:bookmarkEnd w:id="93"/>
            <w:r w:rsidR="002935FD" w:rsidRPr="00E755D9">
              <w:rPr>
                <w:rFonts w:ascii="Arial" w:hAnsi="Arial" w:cs="Arial"/>
                <w:sz w:val="20"/>
                <w:szCs w:val="20"/>
                <w:lang w:val="fr-CA"/>
              </w:rPr>
              <w:t>Dossiers à conserver et communications avec le client à faire par le courtier membre</w:t>
            </w:r>
          </w:p>
        </w:tc>
        <w:tc>
          <w:tcPr>
            <w:tcW w:w="1526" w:type="pct"/>
            <w:shd w:val="clear" w:color="auto" w:fill="auto"/>
          </w:tcPr>
          <w:p w14:paraId="21FF4D59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4" w:name="lt_pId13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94"/>
          </w:p>
          <w:p w14:paraId="5A471D0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5" w:name="lt_pId13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10-0266)</w:t>
            </w:r>
            <w:bookmarkEnd w:id="95"/>
          </w:p>
        </w:tc>
        <w:tc>
          <w:tcPr>
            <w:tcW w:w="1699" w:type="pct"/>
            <w:shd w:val="clear" w:color="auto" w:fill="auto"/>
          </w:tcPr>
          <w:p w14:paraId="7531A39B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0C5E5A23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1AB4A8B0" w14:textId="77777777" w:rsidR="009723CB" w:rsidRPr="00E755D9" w:rsidRDefault="009723CB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6" w:name="lt_pId13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</w:t>
            </w:r>
            <w:r w:rsidR="006132FE" w:rsidRPr="00E755D9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96"/>
          </w:p>
        </w:tc>
      </w:tr>
      <w:tr w:rsidR="00CE01A2" w:rsidRPr="00CA0444" w14:paraId="7D2E851F" w14:textId="77777777" w:rsidTr="009723CB">
        <w:tc>
          <w:tcPr>
            <w:tcW w:w="1775" w:type="pct"/>
            <w:shd w:val="clear" w:color="auto" w:fill="auto"/>
          </w:tcPr>
          <w:p w14:paraId="78F175C8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7" w:name="lt_pId13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3900 – Surveillance</w:t>
            </w:r>
            <w:bookmarkEnd w:id="97"/>
          </w:p>
        </w:tc>
        <w:tc>
          <w:tcPr>
            <w:tcW w:w="1526" w:type="pct"/>
            <w:shd w:val="clear" w:color="auto" w:fill="auto"/>
          </w:tcPr>
          <w:p w14:paraId="624084B9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8" w:name="lt_pId13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98"/>
          </w:p>
          <w:p w14:paraId="60308BD7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99" w:name="lt_pId13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10-0266)</w:t>
            </w:r>
            <w:bookmarkEnd w:id="99"/>
          </w:p>
        </w:tc>
        <w:tc>
          <w:tcPr>
            <w:tcW w:w="1699" w:type="pct"/>
            <w:shd w:val="clear" w:color="auto" w:fill="auto"/>
          </w:tcPr>
          <w:p w14:paraId="4171A0C1" w14:textId="77777777" w:rsidR="006132FE" w:rsidRPr="00E755D9" w:rsidRDefault="006132FE" w:rsidP="000C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3F30EA4C" w14:textId="77777777" w:rsidR="006132FE" w:rsidRPr="00E755D9" w:rsidRDefault="006132FE" w:rsidP="000C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52994BD0" w14:textId="77777777" w:rsidR="000C2121" w:rsidRPr="00E755D9" w:rsidRDefault="000C2121" w:rsidP="000C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  <w:p w14:paraId="5DFE3B1C" w14:textId="77777777" w:rsidR="000C2121" w:rsidRPr="00E755D9" w:rsidRDefault="000C2121" w:rsidP="000C2121">
            <w:pPr>
              <w:pStyle w:val="ListParagraph"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1DBFCDCD" w14:textId="77777777" w:rsidTr="009723CB">
        <w:tc>
          <w:tcPr>
            <w:tcW w:w="5000" w:type="pct"/>
            <w:gridSpan w:val="3"/>
            <w:shd w:val="clear" w:color="auto" w:fill="92D050"/>
          </w:tcPr>
          <w:p w14:paraId="7CB6024D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D83308B" w14:textId="77777777" w:rsidR="009723CB" w:rsidRPr="00E755D9" w:rsidRDefault="009723CB" w:rsidP="009723CB">
            <w:pPr>
              <w:keepNext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00" w:name="lt_pId143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4000</w:t>
            </w:r>
            <w:bookmarkEnd w:id="100"/>
          </w:p>
          <w:p w14:paraId="5CEA25FA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249492F6" w14:textId="77777777" w:rsidTr="009723CB">
        <w:tc>
          <w:tcPr>
            <w:tcW w:w="1775" w:type="pct"/>
            <w:shd w:val="clear" w:color="auto" w:fill="auto"/>
          </w:tcPr>
          <w:p w14:paraId="6246ED1D" w14:textId="6382FF96" w:rsidR="009723CB" w:rsidRPr="00E755D9" w:rsidRDefault="00982E83" w:rsidP="00506C96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1" w:name="lt_pId14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4100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10CA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Normes financières générales à suivre par les courtiers membres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bookmarkEnd w:id="101"/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79215D" w:rsidRPr="00E755D9">
              <w:rPr>
                <w:rFonts w:ascii="Arial" w:hAnsi="Arial" w:cs="Arial"/>
                <w:sz w:val="20"/>
                <w:szCs w:val="20"/>
                <w:lang w:val="fr-CA"/>
              </w:rPr>
              <w:t>apital minim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um</w:t>
            </w:r>
            <w:r w:rsidR="0079215D" w:rsidRPr="00E755D9">
              <w:rPr>
                <w:rFonts w:ascii="Arial" w:hAnsi="Arial" w:cs="Arial"/>
                <w:sz w:val="20"/>
                <w:szCs w:val="20"/>
                <w:lang w:val="fr-CA"/>
              </w:rPr>
              <w:t>, signal précurseur, rapports financiers et auditeurs</w:t>
            </w:r>
          </w:p>
        </w:tc>
        <w:tc>
          <w:tcPr>
            <w:tcW w:w="1526" w:type="pct"/>
            <w:shd w:val="clear" w:color="auto" w:fill="auto"/>
          </w:tcPr>
          <w:p w14:paraId="560361DA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2" w:name="lt_pId14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02"/>
          </w:p>
          <w:p w14:paraId="5ACDCCBF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3" w:name="lt_pId14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03"/>
          </w:p>
        </w:tc>
        <w:tc>
          <w:tcPr>
            <w:tcW w:w="1699" w:type="pct"/>
            <w:shd w:val="clear" w:color="auto" w:fill="auto"/>
          </w:tcPr>
          <w:p w14:paraId="2434B273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4AEB14F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0CD4DAC6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4" w:name="lt_pId14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04"/>
          </w:p>
          <w:p w14:paraId="5CD9A4CF" w14:textId="63CA2C4A" w:rsidR="009723CB" w:rsidRPr="00E755D9" w:rsidRDefault="009723CB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5" w:name="lt_pId15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105"/>
          </w:p>
        </w:tc>
      </w:tr>
      <w:tr w:rsidR="00CE01A2" w:rsidRPr="00CA0444" w14:paraId="37EE3692" w14:textId="77777777" w:rsidTr="009723CB">
        <w:tc>
          <w:tcPr>
            <w:tcW w:w="1775" w:type="pct"/>
            <w:shd w:val="clear" w:color="auto" w:fill="auto"/>
          </w:tcPr>
          <w:p w14:paraId="72D6A136" w14:textId="0A997C5F" w:rsidR="009723CB" w:rsidRPr="00E755D9" w:rsidRDefault="00982E83" w:rsidP="00506C96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6" w:name="lt_pId15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4200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0E10CA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Normes financières générales à suivre par les courtiers membres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bookmarkEnd w:id="106"/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nformation à 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présenter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, contrôles internes, calculs des prix et 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avis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professionnels</w:t>
            </w:r>
          </w:p>
        </w:tc>
        <w:tc>
          <w:tcPr>
            <w:tcW w:w="1526" w:type="pct"/>
            <w:shd w:val="clear" w:color="auto" w:fill="auto"/>
          </w:tcPr>
          <w:p w14:paraId="2EF37726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7" w:name="lt_pId15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07"/>
          </w:p>
          <w:p w14:paraId="4D2EC140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8" w:name="lt_pId15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08"/>
          </w:p>
        </w:tc>
        <w:tc>
          <w:tcPr>
            <w:tcW w:w="1699" w:type="pct"/>
            <w:shd w:val="clear" w:color="auto" w:fill="auto"/>
          </w:tcPr>
          <w:p w14:paraId="15B882ED" w14:textId="77777777" w:rsidR="006132FE" w:rsidRPr="00E755D9" w:rsidRDefault="006132FE" w:rsidP="007425E5">
            <w:pPr>
              <w:pStyle w:val="ListParagraph"/>
              <w:keepNext/>
              <w:keepLines/>
              <w:pageBreakBefore/>
              <w:widowControl w:val="0"/>
              <w:numPr>
                <w:ilvl w:val="0"/>
                <w:numId w:val="4"/>
              </w:numPr>
              <w:ind w:left="418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62838D4C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6BD07639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09" w:name="lt_pId15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09"/>
          </w:p>
          <w:p w14:paraId="37544BD7" w14:textId="7AC4A8CE" w:rsidR="009723CB" w:rsidRPr="00E755D9" w:rsidRDefault="009723CB" w:rsidP="007425E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left="418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0" w:name="lt_pId15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110"/>
          </w:p>
        </w:tc>
      </w:tr>
      <w:tr w:rsidR="00CE01A2" w:rsidRPr="00CA0444" w14:paraId="219DE3C9" w14:textId="77777777" w:rsidTr="009723CB">
        <w:tc>
          <w:tcPr>
            <w:tcW w:w="1775" w:type="pct"/>
            <w:shd w:val="clear" w:color="auto" w:fill="auto"/>
          </w:tcPr>
          <w:p w14:paraId="48B0531C" w14:textId="3E05FC1A" w:rsidR="009723CB" w:rsidRPr="00E755D9" w:rsidRDefault="00982E83" w:rsidP="007425E5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1" w:name="lt_pId15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4300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8444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Protection de l’actif des clients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bookmarkEnd w:id="111"/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épôt fiduciaire, garde et soldes créditeurs disponibles </w:t>
            </w:r>
          </w:p>
        </w:tc>
        <w:tc>
          <w:tcPr>
            <w:tcW w:w="1526" w:type="pct"/>
            <w:shd w:val="clear" w:color="auto" w:fill="auto"/>
          </w:tcPr>
          <w:p w14:paraId="2F712B5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2" w:name="lt_pId15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12"/>
          </w:p>
          <w:p w14:paraId="239998F4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3" w:name="lt_pId16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13"/>
          </w:p>
        </w:tc>
        <w:tc>
          <w:tcPr>
            <w:tcW w:w="1699" w:type="pct"/>
            <w:shd w:val="clear" w:color="auto" w:fill="auto"/>
          </w:tcPr>
          <w:p w14:paraId="568DA061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24E9DFB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6D0F5982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4" w:name="lt_pId16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14"/>
          </w:p>
          <w:p w14:paraId="00E9BA54" w14:textId="2B9E7564" w:rsidR="009723CB" w:rsidRPr="00E755D9" w:rsidRDefault="009723CB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5" w:name="lt_pId16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115"/>
          </w:p>
        </w:tc>
      </w:tr>
      <w:tr w:rsidR="00CE01A2" w:rsidRPr="00CA0444" w14:paraId="5820234D" w14:textId="77777777" w:rsidTr="009723CB">
        <w:tc>
          <w:tcPr>
            <w:tcW w:w="1775" w:type="pct"/>
            <w:shd w:val="clear" w:color="auto" w:fill="auto"/>
          </w:tcPr>
          <w:p w14:paraId="4138637F" w14:textId="6F3DD245" w:rsidR="009723CB" w:rsidRPr="00E755D9" w:rsidRDefault="00982E83" w:rsidP="00506C9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6" w:name="lt_pId16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4400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8444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Protection de l’actif des clients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t>rotection de l’actif des cl</w:t>
            </w:r>
            <w:r w:rsidR="00BC6D90" w:rsidRPr="00E755D9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="00C2027F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ents, </w:t>
            </w:r>
            <w:bookmarkEnd w:id="116"/>
            <w:r w:rsidR="00BC6D9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protection d’espèces et de titres et assurance </w:t>
            </w:r>
          </w:p>
        </w:tc>
        <w:tc>
          <w:tcPr>
            <w:tcW w:w="1526" w:type="pct"/>
            <w:shd w:val="clear" w:color="auto" w:fill="auto"/>
          </w:tcPr>
          <w:p w14:paraId="2B4DDD70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7" w:name="lt_pId16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17"/>
          </w:p>
          <w:p w14:paraId="6534C8D5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8" w:name="lt_pId16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18"/>
          </w:p>
        </w:tc>
        <w:tc>
          <w:tcPr>
            <w:tcW w:w="1699" w:type="pct"/>
            <w:shd w:val="clear" w:color="auto" w:fill="auto"/>
          </w:tcPr>
          <w:p w14:paraId="35098798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49A3A17E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25773F5C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19" w:name="lt_pId17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19"/>
          </w:p>
          <w:p w14:paraId="6AC66511" w14:textId="7BC6551F" w:rsidR="009723CB" w:rsidRPr="00E755D9" w:rsidRDefault="009723CB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0" w:name="lt_pId17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BC6D90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120"/>
          </w:p>
        </w:tc>
      </w:tr>
      <w:tr w:rsidR="00CE01A2" w:rsidRPr="00CA0444" w14:paraId="32CBDFC8" w14:textId="77777777" w:rsidTr="009723CB">
        <w:tc>
          <w:tcPr>
            <w:tcW w:w="1775" w:type="pct"/>
            <w:shd w:val="clear" w:color="auto" w:fill="auto"/>
          </w:tcPr>
          <w:p w14:paraId="63F730FD" w14:textId="7C0637E8" w:rsidR="009723CB" w:rsidRPr="00E755D9" w:rsidRDefault="00982E83" w:rsidP="00F42CC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1" w:name="lt_pId17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4500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>Financement 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bookmarkEnd w:id="121"/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>Pratiques en matière d’opérations sur les marchés des pensions sur titres</w:t>
            </w:r>
          </w:p>
        </w:tc>
        <w:tc>
          <w:tcPr>
            <w:tcW w:w="1526" w:type="pct"/>
            <w:shd w:val="clear" w:color="auto" w:fill="auto"/>
          </w:tcPr>
          <w:p w14:paraId="1D1F48F5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2" w:name="lt_pId17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22"/>
          </w:p>
          <w:p w14:paraId="543E99D2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3" w:name="lt_pId17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23"/>
          </w:p>
        </w:tc>
        <w:tc>
          <w:tcPr>
            <w:tcW w:w="1699" w:type="pct"/>
            <w:shd w:val="clear" w:color="auto" w:fill="auto"/>
          </w:tcPr>
          <w:p w14:paraId="009FFDB0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4D3E7BC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Modifications publiées le 9 mars 2017 (Avis de l’OCRCVM 17-0054)</w:t>
            </w:r>
          </w:p>
          <w:p w14:paraId="206DE3E1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4" w:name="lt_pId17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24"/>
          </w:p>
        </w:tc>
      </w:tr>
      <w:tr w:rsidR="00CE01A2" w:rsidRPr="00CA0444" w14:paraId="0412167F" w14:textId="77777777" w:rsidTr="009723CB">
        <w:tc>
          <w:tcPr>
            <w:tcW w:w="1775" w:type="pct"/>
            <w:shd w:val="clear" w:color="auto" w:fill="auto"/>
          </w:tcPr>
          <w:p w14:paraId="5254BDDB" w14:textId="361EEB7F" w:rsidR="009723CB" w:rsidRPr="00E755D9" w:rsidRDefault="00982E83" w:rsidP="00506C9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5" w:name="lt_pId17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4600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Financement – </w:t>
            </w:r>
            <w:bookmarkEnd w:id="125"/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>Opérations de prêt d’espèces et de titres, mise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en pension et prise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en pension</w:t>
            </w:r>
          </w:p>
        </w:tc>
        <w:tc>
          <w:tcPr>
            <w:tcW w:w="1526" w:type="pct"/>
            <w:shd w:val="clear" w:color="auto" w:fill="auto"/>
          </w:tcPr>
          <w:p w14:paraId="1804539D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6" w:name="lt_pId17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26"/>
          </w:p>
          <w:p w14:paraId="7908701E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7" w:name="lt_pId18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27"/>
          </w:p>
        </w:tc>
        <w:tc>
          <w:tcPr>
            <w:tcW w:w="1699" w:type="pct"/>
            <w:shd w:val="clear" w:color="auto" w:fill="auto"/>
          </w:tcPr>
          <w:p w14:paraId="53C2370B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5CC67C7B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5A27292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8" w:name="lt_pId18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28"/>
          </w:p>
        </w:tc>
      </w:tr>
      <w:tr w:rsidR="00CE01A2" w:rsidRPr="00CA0444" w14:paraId="7692B15E" w14:textId="77777777" w:rsidTr="009723CB">
        <w:tc>
          <w:tcPr>
            <w:tcW w:w="1775" w:type="pct"/>
            <w:shd w:val="clear" w:color="auto" w:fill="auto"/>
          </w:tcPr>
          <w:p w14:paraId="44F5B63E" w14:textId="21535E11" w:rsidR="009723CB" w:rsidRPr="00E755D9" w:rsidRDefault="00982E83" w:rsidP="00506C96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29" w:name="lt_pId18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4700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>Exploitation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–</w:t>
            </w:r>
            <w:bookmarkEnd w:id="129"/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>oursuite des activités et normes générales visant la négociation et la livraison</w:t>
            </w:r>
          </w:p>
        </w:tc>
        <w:tc>
          <w:tcPr>
            <w:tcW w:w="1526" w:type="pct"/>
            <w:shd w:val="clear" w:color="auto" w:fill="auto"/>
          </w:tcPr>
          <w:p w14:paraId="215D3387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0" w:name="lt_pId18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30"/>
          </w:p>
          <w:p w14:paraId="0F8E9511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1" w:name="lt_pId18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31"/>
          </w:p>
        </w:tc>
        <w:tc>
          <w:tcPr>
            <w:tcW w:w="1699" w:type="pct"/>
            <w:shd w:val="clear" w:color="auto" w:fill="auto"/>
          </w:tcPr>
          <w:p w14:paraId="6BF96A8A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5A792744" w14:textId="712D39F1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74E454B6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2" w:name="lt_pId18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32"/>
          </w:p>
        </w:tc>
      </w:tr>
      <w:tr w:rsidR="00CE01A2" w:rsidRPr="00CA0444" w14:paraId="4EF44B47" w14:textId="77777777" w:rsidTr="009723CB">
        <w:tc>
          <w:tcPr>
            <w:tcW w:w="1775" w:type="pct"/>
            <w:shd w:val="clear" w:color="auto" w:fill="auto"/>
          </w:tcPr>
          <w:p w14:paraId="74AB48AC" w14:textId="27F790B1" w:rsidR="009723CB" w:rsidRPr="00E755D9" w:rsidRDefault="00982E83" w:rsidP="007425E5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3" w:name="lt_pId19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Règle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4800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t>–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F42CC5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Exploitation 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– </w:t>
            </w:r>
            <w:bookmarkEnd w:id="133"/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Normes 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négociation et 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livraison </w:t>
            </w:r>
            <w:r w:rsidR="00506C96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applicables aux 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opérations </w:t>
            </w:r>
            <w:r w:rsidR="00B91EFD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sans compensation 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>central</w:t>
            </w:r>
            <w:r w:rsidR="00B91EFD" w:rsidRPr="00E755D9">
              <w:rPr>
                <w:rFonts w:ascii="Arial" w:hAnsi="Arial" w:cs="Arial"/>
                <w:sz w:val="20"/>
                <w:szCs w:val="20"/>
                <w:lang w:val="fr-CA"/>
              </w:rPr>
              <w:t>isée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et </w:t>
            </w:r>
            <w:r w:rsidR="00B91EFD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aux </w:t>
            </w:r>
            <w:r w:rsidR="00CF4950" w:rsidRPr="00E755D9">
              <w:rPr>
                <w:rFonts w:ascii="Arial" w:hAnsi="Arial" w:cs="Arial"/>
                <w:sz w:val="20"/>
                <w:szCs w:val="20"/>
                <w:lang w:val="fr-CA"/>
              </w:rPr>
              <w:t>transferts de comptes</w:t>
            </w:r>
          </w:p>
        </w:tc>
        <w:tc>
          <w:tcPr>
            <w:tcW w:w="1526" w:type="pct"/>
            <w:shd w:val="clear" w:color="auto" w:fill="auto"/>
          </w:tcPr>
          <w:p w14:paraId="6A0FF37B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4" w:name="lt_pId19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34"/>
          </w:p>
          <w:p w14:paraId="00FC9F69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5" w:name="lt_pId19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35"/>
          </w:p>
        </w:tc>
        <w:tc>
          <w:tcPr>
            <w:tcW w:w="1699" w:type="pct"/>
            <w:shd w:val="clear" w:color="auto" w:fill="auto"/>
          </w:tcPr>
          <w:p w14:paraId="767C3DEE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1760DBE9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79E12FD1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6" w:name="lt_pId19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36"/>
          </w:p>
        </w:tc>
      </w:tr>
      <w:tr w:rsidR="00CE01A2" w:rsidRPr="00CA0444" w14:paraId="66BB1DF3" w14:textId="77777777" w:rsidTr="009723CB">
        <w:tc>
          <w:tcPr>
            <w:tcW w:w="1775" w:type="pct"/>
            <w:shd w:val="clear" w:color="auto" w:fill="auto"/>
          </w:tcPr>
          <w:p w14:paraId="0CF8C16E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7" w:name="lt_pId19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4900 – Autres contrôles internes requis</w:t>
            </w:r>
            <w:bookmarkEnd w:id="137"/>
          </w:p>
        </w:tc>
        <w:tc>
          <w:tcPr>
            <w:tcW w:w="1526" w:type="pct"/>
            <w:shd w:val="clear" w:color="auto" w:fill="auto"/>
          </w:tcPr>
          <w:p w14:paraId="3E215C3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8" w:name="lt_pId19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8 octobre 2010</w:t>
            </w:r>
            <w:bookmarkEnd w:id="138"/>
          </w:p>
          <w:p w14:paraId="20DCBB13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39" w:name="lt_pId19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10-0267)</w:t>
            </w:r>
            <w:bookmarkEnd w:id="139"/>
          </w:p>
        </w:tc>
        <w:tc>
          <w:tcPr>
            <w:tcW w:w="1699" w:type="pct"/>
            <w:shd w:val="clear" w:color="auto" w:fill="auto"/>
          </w:tcPr>
          <w:p w14:paraId="4F0187BE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08C15493" w14:textId="77777777" w:rsidR="009723CB" w:rsidRPr="00E755D9" w:rsidRDefault="006132FE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  <w:p w14:paraId="7BD648FD" w14:textId="77777777" w:rsidR="000C2121" w:rsidRPr="00E755D9" w:rsidRDefault="000C2121" w:rsidP="000C2121">
            <w:pPr>
              <w:pStyle w:val="ListParagraph"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6808FFE0" w14:textId="77777777" w:rsidTr="009723CB">
        <w:tc>
          <w:tcPr>
            <w:tcW w:w="5000" w:type="pct"/>
            <w:gridSpan w:val="3"/>
            <w:shd w:val="clear" w:color="auto" w:fill="92D050"/>
          </w:tcPr>
          <w:p w14:paraId="3378DFD9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3F30693D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40" w:name="lt_pId201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5000</w:t>
            </w:r>
            <w:bookmarkEnd w:id="140"/>
          </w:p>
          <w:p w14:paraId="3F42281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2B2421F5" w14:textId="77777777" w:rsidTr="009723CB">
        <w:tc>
          <w:tcPr>
            <w:tcW w:w="1775" w:type="pct"/>
            <w:shd w:val="clear" w:color="auto" w:fill="auto"/>
          </w:tcPr>
          <w:p w14:paraId="3C4D2871" w14:textId="77777777" w:rsidR="009723CB" w:rsidRPr="00E755D9" w:rsidRDefault="009723CB" w:rsidP="009723CB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bookmarkStart w:id="141" w:name="lt_pId20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5100 – Marges obligatoires – Application et définitions</w:t>
            </w:r>
            <w:bookmarkEnd w:id="141"/>
          </w:p>
        </w:tc>
        <w:tc>
          <w:tcPr>
            <w:tcW w:w="1526" w:type="pct"/>
            <w:shd w:val="clear" w:color="auto" w:fill="auto"/>
          </w:tcPr>
          <w:p w14:paraId="77153863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2" w:name="lt_pId20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42"/>
          </w:p>
          <w:p w14:paraId="042116CB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3" w:name="lt_pId20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43"/>
          </w:p>
        </w:tc>
        <w:tc>
          <w:tcPr>
            <w:tcW w:w="1699" w:type="pct"/>
            <w:shd w:val="clear" w:color="auto" w:fill="auto"/>
          </w:tcPr>
          <w:p w14:paraId="047421B9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763E5D9E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519A6511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4" w:name="lt_pId20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44"/>
          </w:p>
        </w:tc>
      </w:tr>
      <w:tr w:rsidR="00CE01A2" w:rsidRPr="00CA0444" w14:paraId="6882F1F7" w14:textId="77777777" w:rsidTr="009723CB">
        <w:trPr>
          <w:trHeight w:val="555"/>
        </w:trPr>
        <w:tc>
          <w:tcPr>
            <w:tcW w:w="1775" w:type="pct"/>
            <w:shd w:val="clear" w:color="auto" w:fill="auto"/>
          </w:tcPr>
          <w:p w14:paraId="2437733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5" w:name="lt_pId20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5200 – Marges obligatoires dans le cas de titres de créance et de prêts hypothécaires</w:t>
            </w:r>
            <w:bookmarkEnd w:id="145"/>
          </w:p>
        </w:tc>
        <w:tc>
          <w:tcPr>
            <w:tcW w:w="1526" w:type="pct"/>
            <w:shd w:val="clear" w:color="auto" w:fill="auto"/>
          </w:tcPr>
          <w:p w14:paraId="7E4CF70C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6" w:name="lt_pId20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46"/>
          </w:p>
          <w:p w14:paraId="69AE8C4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7" w:name="lt_pId21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47"/>
          </w:p>
        </w:tc>
        <w:tc>
          <w:tcPr>
            <w:tcW w:w="1699" w:type="pct"/>
            <w:shd w:val="clear" w:color="auto" w:fill="auto"/>
          </w:tcPr>
          <w:p w14:paraId="684888FC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1BC1BCA" w14:textId="77777777" w:rsidR="009723CB" w:rsidRPr="00E755D9" w:rsidRDefault="006132FE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8" w:name="lt_pId21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48"/>
          </w:p>
        </w:tc>
      </w:tr>
      <w:tr w:rsidR="00CE01A2" w:rsidRPr="00CA0444" w14:paraId="329193B1" w14:textId="77777777" w:rsidTr="009723CB">
        <w:tc>
          <w:tcPr>
            <w:tcW w:w="1775" w:type="pct"/>
            <w:shd w:val="clear" w:color="auto" w:fill="auto"/>
          </w:tcPr>
          <w:p w14:paraId="02898BEB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49" w:name="lt_pId21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5300 – Marges obligatoires dans le cas de titres de capitaux propres et de produits indiciels</w:t>
            </w:r>
            <w:bookmarkEnd w:id="14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71C95B28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0" w:name="lt_pId21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50"/>
          </w:p>
          <w:p w14:paraId="54BB14DA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1" w:name="lt_pId21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51"/>
          </w:p>
        </w:tc>
        <w:tc>
          <w:tcPr>
            <w:tcW w:w="1699" w:type="pct"/>
            <w:shd w:val="clear" w:color="auto" w:fill="auto"/>
          </w:tcPr>
          <w:p w14:paraId="281BE1C3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50B0C543" w14:textId="77777777" w:rsidR="009723CB" w:rsidRPr="00E755D9" w:rsidRDefault="009723CB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2" w:name="lt_pId21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publiées le </w:t>
            </w:r>
            <w:r w:rsidR="006132FE" w:rsidRPr="00E755D9">
              <w:rPr>
                <w:rFonts w:ascii="Arial" w:hAnsi="Arial" w:cs="Arial"/>
                <w:sz w:val="20"/>
                <w:szCs w:val="20"/>
                <w:lang w:val="fr-CA"/>
              </w:rPr>
              <w:t>10 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52"/>
          </w:p>
          <w:p w14:paraId="288C89DC" w14:textId="1167AB4D" w:rsidR="009723CB" w:rsidRPr="00E755D9" w:rsidRDefault="009723CB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3" w:name="lt_pId21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Modifications de précision publiées le 30 mars 2012 (Avis de l’OCRCVM </w:t>
            </w:r>
            <w:r w:rsidR="003841B6" w:rsidRPr="00E755D9"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12-0111)</w:t>
            </w:r>
            <w:bookmarkEnd w:id="153"/>
          </w:p>
        </w:tc>
      </w:tr>
      <w:tr w:rsidR="00CE01A2" w:rsidRPr="00CA0444" w14:paraId="678B2AC5" w14:textId="77777777" w:rsidTr="009723CB">
        <w:tc>
          <w:tcPr>
            <w:tcW w:w="1775" w:type="pct"/>
            <w:shd w:val="clear" w:color="auto" w:fill="auto"/>
          </w:tcPr>
          <w:p w14:paraId="15DBADD1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4" w:name="lt_pId21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5400 – Marges obligatoires dans le cas d’autres produits de placement</w:t>
            </w:r>
            <w:bookmarkEnd w:id="154"/>
          </w:p>
        </w:tc>
        <w:tc>
          <w:tcPr>
            <w:tcW w:w="1526" w:type="pct"/>
            <w:shd w:val="clear" w:color="auto" w:fill="auto"/>
          </w:tcPr>
          <w:p w14:paraId="27A7ED77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5" w:name="lt_pId22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55"/>
          </w:p>
          <w:p w14:paraId="704DAD18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6" w:name="lt_pId22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56"/>
          </w:p>
        </w:tc>
        <w:tc>
          <w:tcPr>
            <w:tcW w:w="1699" w:type="pct"/>
            <w:shd w:val="clear" w:color="auto" w:fill="auto"/>
          </w:tcPr>
          <w:p w14:paraId="6EF65AC4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7C050484" w14:textId="77777777" w:rsidR="009723CB" w:rsidRPr="00E755D9" w:rsidRDefault="006132FE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7" w:name="lt_pId22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157"/>
          </w:p>
        </w:tc>
      </w:tr>
      <w:tr w:rsidR="00CE01A2" w:rsidRPr="00CA0444" w14:paraId="47AC8739" w14:textId="77777777" w:rsidTr="009723CB">
        <w:tc>
          <w:tcPr>
            <w:tcW w:w="1775" w:type="pct"/>
            <w:shd w:val="clear" w:color="auto" w:fill="auto"/>
          </w:tcPr>
          <w:p w14:paraId="60F4BA4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8" w:name="lt_pId22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5500 – Marges obligatoires dans le cas d’engagements de prise ferme et de négociation avant l’émission</w:t>
            </w:r>
            <w:bookmarkEnd w:id="158"/>
          </w:p>
        </w:tc>
        <w:tc>
          <w:tcPr>
            <w:tcW w:w="1526" w:type="pct"/>
            <w:shd w:val="clear" w:color="auto" w:fill="auto"/>
          </w:tcPr>
          <w:p w14:paraId="279B3985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59" w:name="lt_pId22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59"/>
          </w:p>
          <w:p w14:paraId="08FA633C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0" w:name="lt_pId22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60"/>
          </w:p>
        </w:tc>
        <w:tc>
          <w:tcPr>
            <w:tcW w:w="1699" w:type="pct"/>
            <w:shd w:val="clear" w:color="auto" w:fill="auto"/>
          </w:tcPr>
          <w:p w14:paraId="08BDA5F4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6E943B1C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6783174D" w14:textId="77777777" w:rsidTr="009723CB">
        <w:tc>
          <w:tcPr>
            <w:tcW w:w="1775" w:type="pct"/>
            <w:shd w:val="clear" w:color="auto" w:fill="auto"/>
          </w:tcPr>
          <w:p w14:paraId="40CC7ED5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1" w:name="lt_pId22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5600 – Marges obligatoires dans le cas de stratégies de compensation visant des titres de créance, des titres de capitaux propres et des instruments connexes</w:t>
            </w:r>
            <w:bookmarkEnd w:id="16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002A8527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2" w:name="lt_pId23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62"/>
          </w:p>
          <w:p w14:paraId="7A42DF7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3" w:name="lt_pId23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63"/>
          </w:p>
        </w:tc>
        <w:tc>
          <w:tcPr>
            <w:tcW w:w="1699" w:type="pct"/>
            <w:shd w:val="clear" w:color="auto" w:fill="auto"/>
          </w:tcPr>
          <w:p w14:paraId="7284B2B3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67C861A7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0D5741C7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628E7954" w14:textId="77777777" w:rsidTr="009723CB">
        <w:tc>
          <w:tcPr>
            <w:tcW w:w="1775" w:type="pct"/>
            <w:shd w:val="clear" w:color="auto" w:fill="auto"/>
          </w:tcPr>
          <w:p w14:paraId="2B21E507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4" w:name="lt_pId23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5700 – Marges obligatoires dans le cas de stratégies de compensation visant des dérivés</w:t>
            </w:r>
            <w:bookmarkEnd w:id="164"/>
          </w:p>
        </w:tc>
        <w:tc>
          <w:tcPr>
            <w:tcW w:w="1526" w:type="pct"/>
            <w:shd w:val="clear" w:color="auto" w:fill="auto"/>
          </w:tcPr>
          <w:p w14:paraId="4E5C0147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5" w:name="lt_pId23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65"/>
          </w:p>
          <w:p w14:paraId="3AA9E26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6" w:name="lt_pId23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66"/>
          </w:p>
        </w:tc>
        <w:tc>
          <w:tcPr>
            <w:tcW w:w="1699" w:type="pct"/>
            <w:shd w:val="clear" w:color="auto" w:fill="auto"/>
          </w:tcPr>
          <w:p w14:paraId="22603D13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6113D4B2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50D3A5DA" w14:textId="77777777" w:rsidR="009723CB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31E1E5EC" w14:textId="77777777" w:rsidTr="009723CB">
        <w:tc>
          <w:tcPr>
            <w:tcW w:w="1775" w:type="pct"/>
            <w:shd w:val="clear" w:color="auto" w:fill="auto"/>
          </w:tcPr>
          <w:p w14:paraId="0ED1834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7" w:name="lt_pId24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5800 – Conventions connexes aux comptes</w:t>
            </w:r>
            <w:bookmarkEnd w:id="167"/>
          </w:p>
        </w:tc>
        <w:tc>
          <w:tcPr>
            <w:tcW w:w="1526" w:type="pct"/>
            <w:shd w:val="clear" w:color="auto" w:fill="auto"/>
          </w:tcPr>
          <w:p w14:paraId="16A51222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8" w:name="lt_pId24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 février 2012</w:t>
            </w:r>
            <w:bookmarkEnd w:id="168"/>
          </w:p>
          <w:p w14:paraId="55B55AB2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69" w:name="lt_pId24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12-0042)</w:t>
            </w:r>
            <w:bookmarkEnd w:id="169"/>
          </w:p>
        </w:tc>
        <w:tc>
          <w:tcPr>
            <w:tcW w:w="1699" w:type="pct"/>
            <w:shd w:val="clear" w:color="auto" w:fill="auto"/>
          </w:tcPr>
          <w:p w14:paraId="29654F48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2E9F5739" w14:textId="77777777" w:rsidR="009723CB" w:rsidRPr="00E755D9" w:rsidRDefault="006132FE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07D0B75B" w14:textId="77777777" w:rsidTr="009723CB">
        <w:tc>
          <w:tcPr>
            <w:tcW w:w="1775" w:type="pct"/>
            <w:shd w:val="clear" w:color="auto" w:fill="auto"/>
          </w:tcPr>
          <w:p w14:paraId="423E5BC3" w14:textId="2EA03114" w:rsidR="009723CB" w:rsidRPr="00E755D9" w:rsidRDefault="009723CB" w:rsidP="00D469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0" w:name="lt_pId24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D469D1" w:rsidRPr="00E755D9">
              <w:rPr>
                <w:rFonts w:ascii="Arial" w:hAnsi="Arial" w:cs="Arial"/>
                <w:sz w:val="20"/>
                <w:szCs w:val="20"/>
                <w:lang w:val="fr-CA"/>
              </w:rPr>
              <w:t>ègle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5900 – </w:t>
            </w:r>
            <w:bookmarkEnd w:id="170"/>
            <w:r w:rsidR="00961AC5" w:rsidRPr="00E755D9">
              <w:rPr>
                <w:rFonts w:ascii="Arial" w:hAnsi="Arial" w:cs="Arial"/>
                <w:sz w:val="20"/>
                <w:szCs w:val="20"/>
                <w:lang w:val="fr-CA"/>
              </w:rPr>
              <w:t>Marges obligatoires associées aux conventions</w:t>
            </w:r>
          </w:p>
        </w:tc>
        <w:tc>
          <w:tcPr>
            <w:tcW w:w="1526" w:type="pct"/>
            <w:shd w:val="clear" w:color="auto" w:fill="auto"/>
          </w:tcPr>
          <w:p w14:paraId="6D531730" w14:textId="77777777" w:rsidR="009723CB" w:rsidRPr="00E755D9" w:rsidRDefault="000C2121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1" w:name="lt_pId24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10 mars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2016 (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Avis de l’OCRCVM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16-0052)</w:t>
            </w:r>
            <w:bookmarkEnd w:id="171"/>
          </w:p>
        </w:tc>
        <w:tc>
          <w:tcPr>
            <w:tcW w:w="1699" w:type="pct"/>
            <w:shd w:val="clear" w:color="auto" w:fill="auto"/>
          </w:tcPr>
          <w:p w14:paraId="27AD73FD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4478BF3" w14:textId="77777777" w:rsidR="009723CB" w:rsidRPr="00E755D9" w:rsidRDefault="009723CB" w:rsidP="009723CB">
            <w:pPr>
              <w:pStyle w:val="ListParagraph"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32609742" w14:textId="77777777" w:rsidTr="009723CB">
        <w:tc>
          <w:tcPr>
            <w:tcW w:w="5000" w:type="pct"/>
            <w:gridSpan w:val="3"/>
            <w:shd w:val="clear" w:color="auto" w:fill="92D050"/>
          </w:tcPr>
          <w:p w14:paraId="6D16DBD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0FDF499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72" w:name="lt_pId249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6000</w:t>
            </w:r>
            <w:bookmarkEnd w:id="172"/>
          </w:p>
          <w:p w14:paraId="499D4B5A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5BE503AF" w14:textId="77777777" w:rsidTr="009723CB">
        <w:tc>
          <w:tcPr>
            <w:tcW w:w="1775" w:type="pct"/>
            <w:shd w:val="clear" w:color="auto" w:fill="auto"/>
          </w:tcPr>
          <w:p w14:paraId="3E979778" w14:textId="77777777" w:rsidR="009723CB" w:rsidRPr="00E755D9" w:rsidRDefault="009723CB" w:rsidP="009723CB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bookmarkStart w:id="173" w:name="lt_pId250"/>
            <w:r w:rsidRPr="00E755D9">
              <w:rPr>
                <w:rFonts w:ascii="Arial" w:hAnsi="Arial" w:cs="Arial"/>
                <w:i/>
                <w:sz w:val="20"/>
                <w:szCs w:val="20"/>
                <w:lang w:val="fr-CA"/>
              </w:rPr>
              <w:t>Réservé</w:t>
            </w:r>
            <w:bookmarkEnd w:id="173"/>
          </w:p>
        </w:tc>
        <w:tc>
          <w:tcPr>
            <w:tcW w:w="1526" w:type="pct"/>
            <w:shd w:val="clear" w:color="auto" w:fill="auto"/>
          </w:tcPr>
          <w:p w14:paraId="589A9DE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EA963F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99" w:type="pct"/>
            <w:shd w:val="clear" w:color="auto" w:fill="auto"/>
          </w:tcPr>
          <w:p w14:paraId="7176CE75" w14:textId="77777777" w:rsidR="009723CB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7712E25" w14:textId="77777777" w:rsidR="008941ED" w:rsidRDefault="008941ED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CF52CCE" w14:textId="77777777" w:rsidR="008941ED" w:rsidRDefault="008941ED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36BDC09" w14:textId="413F1AD5" w:rsidR="008941ED" w:rsidRPr="00E755D9" w:rsidRDefault="008941ED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6D75EF5F" w14:textId="77777777" w:rsidTr="009723CB">
        <w:trPr>
          <w:trHeight w:val="682"/>
        </w:trPr>
        <w:tc>
          <w:tcPr>
            <w:tcW w:w="5000" w:type="pct"/>
            <w:gridSpan w:val="3"/>
            <w:shd w:val="clear" w:color="auto" w:fill="92D050"/>
          </w:tcPr>
          <w:p w14:paraId="7BCB362C" w14:textId="77777777" w:rsidR="009723CB" w:rsidRPr="00E755D9" w:rsidRDefault="009723CB" w:rsidP="009723CB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3DEA41E0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74" w:name="lt_pId251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7000</w:t>
            </w:r>
            <w:bookmarkEnd w:id="174"/>
          </w:p>
          <w:p w14:paraId="5EEE0D02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5C6B0CFB" w14:textId="77777777" w:rsidTr="009723CB">
        <w:tc>
          <w:tcPr>
            <w:tcW w:w="1775" w:type="pct"/>
            <w:shd w:val="clear" w:color="auto" w:fill="auto"/>
          </w:tcPr>
          <w:p w14:paraId="606D140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5" w:name="lt_pId25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7100 – Marchés des titres de créance</w:t>
            </w:r>
            <w:bookmarkEnd w:id="17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53A769BA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6" w:name="lt_pId25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27 mai 2011</w:t>
            </w:r>
            <w:bookmarkEnd w:id="176"/>
          </w:p>
          <w:p w14:paraId="588FDC16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7" w:name="lt_pId25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11-0164)</w:t>
            </w:r>
            <w:bookmarkEnd w:id="177"/>
          </w:p>
        </w:tc>
        <w:tc>
          <w:tcPr>
            <w:tcW w:w="1699" w:type="pct"/>
            <w:shd w:val="clear" w:color="auto" w:fill="auto"/>
          </w:tcPr>
          <w:p w14:paraId="21FB17D4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38CDDFB5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4D0BE55D" w14:textId="77777777" w:rsidR="009723CB" w:rsidRPr="00E755D9" w:rsidRDefault="006132FE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380E9AB1" w14:textId="77777777" w:rsidTr="009723CB">
        <w:tc>
          <w:tcPr>
            <w:tcW w:w="1775" w:type="pct"/>
            <w:shd w:val="clear" w:color="auto" w:fill="auto"/>
          </w:tcPr>
          <w:p w14:paraId="11DDDE1D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8" w:name="lt_pId25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7200 – Déclaration d’opérations sur titres de créance</w:t>
            </w:r>
            <w:bookmarkEnd w:id="178"/>
          </w:p>
        </w:tc>
        <w:tc>
          <w:tcPr>
            <w:tcW w:w="1526" w:type="pct"/>
            <w:shd w:val="clear" w:color="auto" w:fill="auto"/>
          </w:tcPr>
          <w:p w14:paraId="079ECBB7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79" w:name="lt_pId25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27 mai 2011</w:t>
            </w:r>
            <w:bookmarkEnd w:id="179"/>
          </w:p>
          <w:p w14:paraId="71F9E266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0" w:name="lt_pId26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11-0164)</w:t>
            </w:r>
            <w:bookmarkEnd w:id="180"/>
          </w:p>
        </w:tc>
        <w:tc>
          <w:tcPr>
            <w:tcW w:w="1699" w:type="pct"/>
            <w:shd w:val="clear" w:color="auto" w:fill="auto"/>
          </w:tcPr>
          <w:p w14:paraId="1A6F68BB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3F118335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1DE367B7" w14:textId="77777777" w:rsidR="009723CB" w:rsidRPr="00E755D9" w:rsidRDefault="006132FE" w:rsidP="00972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</w:tc>
      </w:tr>
      <w:tr w:rsidR="00CE01A2" w:rsidRPr="00CA0444" w14:paraId="52B405FD" w14:textId="77777777" w:rsidTr="009723CB">
        <w:trPr>
          <w:trHeight w:val="697"/>
        </w:trPr>
        <w:tc>
          <w:tcPr>
            <w:tcW w:w="1775" w:type="pct"/>
            <w:shd w:val="clear" w:color="auto" w:fill="auto"/>
          </w:tcPr>
          <w:p w14:paraId="23514F85" w14:textId="77777777" w:rsidR="009723CB" w:rsidRPr="00E755D9" w:rsidRDefault="00961AC5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7300 – Courtiers intermédiaires en obligations</w:t>
            </w:r>
          </w:p>
        </w:tc>
        <w:tc>
          <w:tcPr>
            <w:tcW w:w="1526" w:type="pct"/>
            <w:shd w:val="clear" w:color="auto" w:fill="auto"/>
          </w:tcPr>
          <w:p w14:paraId="0164654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1" w:name="lt_pId26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27 mai 2011</w:t>
            </w:r>
            <w:bookmarkEnd w:id="181"/>
          </w:p>
          <w:p w14:paraId="038E24F8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2" w:name="lt_pId26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11-0164)</w:t>
            </w:r>
            <w:bookmarkEnd w:id="182"/>
          </w:p>
        </w:tc>
        <w:tc>
          <w:tcPr>
            <w:tcW w:w="1699" w:type="pct"/>
            <w:shd w:val="clear" w:color="auto" w:fill="auto"/>
          </w:tcPr>
          <w:p w14:paraId="7F2CFF34" w14:textId="77777777" w:rsidR="006132FE" w:rsidRPr="00E755D9" w:rsidRDefault="006132FE" w:rsidP="006132F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7C4773AB" w14:textId="77777777" w:rsidR="009723CB" w:rsidRPr="00E755D9" w:rsidRDefault="006132FE" w:rsidP="009723CB">
            <w:pPr>
              <w:pStyle w:val="ListParagraph"/>
              <w:ind w:left="417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</w:p>
          <w:p w14:paraId="5C2D58C9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E755D9" w14:paraId="01D1B45E" w14:textId="77777777" w:rsidTr="009723CB">
        <w:trPr>
          <w:trHeight w:val="575"/>
        </w:trPr>
        <w:tc>
          <w:tcPr>
            <w:tcW w:w="5000" w:type="pct"/>
            <w:gridSpan w:val="3"/>
            <w:shd w:val="clear" w:color="auto" w:fill="92D050"/>
          </w:tcPr>
          <w:p w14:paraId="5F56951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7A3BAC7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83" w:name="lt_pId269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8000</w:t>
            </w:r>
            <w:bookmarkEnd w:id="183"/>
          </w:p>
          <w:p w14:paraId="7F412913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24BC199D" w14:textId="77777777" w:rsidTr="009723CB">
        <w:trPr>
          <w:trHeight w:val="755"/>
        </w:trPr>
        <w:tc>
          <w:tcPr>
            <w:tcW w:w="1775" w:type="pct"/>
            <w:shd w:val="clear" w:color="auto" w:fill="auto"/>
          </w:tcPr>
          <w:p w14:paraId="6501345E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4" w:name="lt_pId27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8100 – Enquêtes relatives à la mise en application</w:t>
            </w:r>
            <w:bookmarkEnd w:id="18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7A42D928" w14:textId="77777777" w:rsidR="009723CB" w:rsidRPr="00E755D9" w:rsidRDefault="009723CB" w:rsidP="009723C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85" w:name="lt_pId27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mise en applicatio</w:t>
            </w:r>
            <w:r w:rsidR="000C2121" w:rsidRPr="00E755D9">
              <w:rPr>
                <w:rFonts w:ascii="Arial" w:hAnsi="Arial" w:cs="Arial"/>
                <w:sz w:val="20"/>
                <w:szCs w:val="20"/>
                <w:lang w:val="fr-CA"/>
              </w:rPr>
              <w:t>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85"/>
          </w:p>
        </w:tc>
        <w:tc>
          <w:tcPr>
            <w:tcW w:w="1699" w:type="pct"/>
            <w:shd w:val="clear" w:color="auto" w:fill="auto"/>
          </w:tcPr>
          <w:p w14:paraId="7191D0A9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01FECA6D" w14:textId="5413866A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30 novembre 2017 (Avis de l’OCRCVM </w:t>
            </w:r>
            <w:r w:rsidR="00490340" w:rsidRPr="00E755D9">
              <w:rPr>
                <w:rFonts w:ascii="Arial" w:hAnsi="Arial" w:cs="Arial"/>
                <w:sz w:val="20"/>
                <w:szCs w:val="20"/>
                <w:lang w:val="fr-CA"/>
              </w:rPr>
              <w:t>17-0224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26A861C9" w14:textId="77777777" w:rsidR="009723CB" w:rsidRPr="00E755D9" w:rsidRDefault="006132FE" w:rsidP="000C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62F9203A" w14:textId="77777777" w:rsidTr="009723CB">
        <w:tc>
          <w:tcPr>
            <w:tcW w:w="1775" w:type="pct"/>
            <w:shd w:val="clear" w:color="auto" w:fill="auto"/>
          </w:tcPr>
          <w:p w14:paraId="5F2F725A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6" w:name="lt_pId27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8200 – Procédures de mise en application</w:t>
            </w:r>
            <w:bookmarkEnd w:id="18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3A42CA20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7" w:name="lt_pId27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0C2121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87"/>
          </w:p>
        </w:tc>
        <w:tc>
          <w:tcPr>
            <w:tcW w:w="1699" w:type="pct"/>
            <w:shd w:val="clear" w:color="auto" w:fill="auto"/>
          </w:tcPr>
          <w:p w14:paraId="2F5108E4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52CECF72" w14:textId="77777777" w:rsidR="009723CB" w:rsidRPr="00E755D9" w:rsidRDefault="006132FE" w:rsidP="000C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782AB5CC" w14:textId="77777777" w:rsidTr="009723CB">
        <w:tc>
          <w:tcPr>
            <w:tcW w:w="1775" w:type="pct"/>
            <w:shd w:val="clear" w:color="auto" w:fill="auto"/>
          </w:tcPr>
          <w:p w14:paraId="0A564CC8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8" w:name="lt_pId27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8300 – Comités d’instruction</w:t>
            </w:r>
            <w:bookmarkEnd w:id="18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2BCC43DD" w14:textId="77777777" w:rsidR="009723CB" w:rsidRPr="00E755D9" w:rsidRDefault="009723CB" w:rsidP="000C212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89" w:name="lt_pId28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0C2121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89"/>
          </w:p>
        </w:tc>
        <w:tc>
          <w:tcPr>
            <w:tcW w:w="1699" w:type="pct"/>
            <w:shd w:val="clear" w:color="auto" w:fill="auto"/>
          </w:tcPr>
          <w:p w14:paraId="56543965" w14:textId="77777777" w:rsidR="009723CB" w:rsidRPr="00E755D9" w:rsidRDefault="006132FE" w:rsidP="000C2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4BC365DB" w14:textId="77777777" w:rsidTr="009723CB">
        <w:tc>
          <w:tcPr>
            <w:tcW w:w="1775" w:type="pct"/>
            <w:shd w:val="clear" w:color="auto" w:fill="auto"/>
          </w:tcPr>
          <w:p w14:paraId="198D58B6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90" w:name="lt_pId282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8400 – Règles de pratique et de procédure</w:t>
            </w:r>
            <w:bookmarkEnd w:id="190"/>
          </w:p>
        </w:tc>
        <w:tc>
          <w:tcPr>
            <w:tcW w:w="1526" w:type="pct"/>
            <w:shd w:val="clear" w:color="auto" w:fill="auto"/>
          </w:tcPr>
          <w:p w14:paraId="5E90EC7F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91" w:name="lt_pId28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0C2121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91"/>
          </w:p>
        </w:tc>
        <w:tc>
          <w:tcPr>
            <w:tcW w:w="1699" w:type="pct"/>
            <w:shd w:val="clear" w:color="auto" w:fill="auto"/>
          </w:tcPr>
          <w:p w14:paraId="78CDAEAE" w14:textId="08CCAEE5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30 novembre 2017 (Avis de l’OCRCVM </w:t>
            </w:r>
            <w:r w:rsidR="00490340" w:rsidRPr="00E755D9">
              <w:rPr>
                <w:rFonts w:ascii="Arial" w:hAnsi="Arial" w:cs="Arial"/>
                <w:sz w:val="20"/>
                <w:szCs w:val="20"/>
                <w:lang w:val="fr-CA"/>
              </w:rPr>
              <w:t>17-0224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05B354A8" w14:textId="77777777" w:rsidR="009723CB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E755D9" w14:paraId="10D8CF7A" w14:textId="77777777" w:rsidTr="009723CB">
        <w:tc>
          <w:tcPr>
            <w:tcW w:w="5000" w:type="pct"/>
            <w:gridSpan w:val="3"/>
            <w:shd w:val="clear" w:color="auto" w:fill="92D050"/>
          </w:tcPr>
          <w:p w14:paraId="22275E93" w14:textId="77777777" w:rsidR="009723CB" w:rsidRPr="00E755D9" w:rsidRDefault="009723CB" w:rsidP="009723CB">
            <w:pPr>
              <w:keepNext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</w:p>
          <w:p w14:paraId="5B63E2FA" w14:textId="77777777" w:rsidR="009723CB" w:rsidRPr="00E755D9" w:rsidRDefault="009723CB" w:rsidP="009723CB">
            <w:pPr>
              <w:keepNext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92" w:name="lt_pId286"/>
            <w:r w:rsidRPr="00E755D9">
              <w:rPr>
                <w:rFonts w:ascii="Arial" w:hAnsi="Arial" w:cs="Arial"/>
                <w:b/>
                <w:sz w:val="20"/>
                <w:szCs w:val="20"/>
                <w:lang w:val="fr-CA"/>
              </w:rPr>
              <w:t>SÉRIE 9000</w:t>
            </w:r>
            <w:bookmarkEnd w:id="192"/>
          </w:p>
          <w:p w14:paraId="220765CB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E01A2" w:rsidRPr="00CA0444" w14:paraId="5674D28B" w14:textId="77777777" w:rsidTr="009723CB">
        <w:tc>
          <w:tcPr>
            <w:tcW w:w="1775" w:type="pct"/>
            <w:shd w:val="clear" w:color="auto" w:fill="auto"/>
          </w:tcPr>
          <w:p w14:paraId="689C2DAC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93" w:name="lt_pId28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9100 – Inspections de la conformité</w:t>
            </w:r>
            <w:bookmarkEnd w:id="19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26" w:type="pct"/>
            <w:shd w:val="clear" w:color="auto" w:fill="auto"/>
          </w:tcPr>
          <w:p w14:paraId="4A90FBB9" w14:textId="77777777" w:rsidR="009723CB" w:rsidRPr="00E755D9" w:rsidRDefault="009723CB" w:rsidP="009723CB">
            <w:pPr>
              <w:keepNext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194" w:name="lt_pId28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2F70CA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94"/>
          </w:p>
        </w:tc>
        <w:tc>
          <w:tcPr>
            <w:tcW w:w="1699" w:type="pct"/>
            <w:shd w:val="clear" w:color="auto" w:fill="auto"/>
          </w:tcPr>
          <w:p w14:paraId="3715B2B0" w14:textId="77777777" w:rsidR="009723CB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6C103306" w14:textId="77777777" w:rsidTr="009723CB">
        <w:tc>
          <w:tcPr>
            <w:tcW w:w="1775" w:type="pct"/>
            <w:shd w:val="clear" w:color="auto" w:fill="auto"/>
          </w:tcPr>
          <w:p w14:paraId="5ABDF8B5" w14:textId="77777777" w:rsidR="009723CB" w:rsidRPr="00E755D9" w:rsidRDefault="009723CB" w:rsidP="009723CB">
            <w:pPr>
              <w:keepNext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bookmarkStart w:id="195" w:name="lt_pId29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9200 – Autorisations et surveillance en matière de réglementation</w:t>
            </w:r>
            <w:bookmarkEnd w:id="195"/>
          </w:p>
        </w:tc>
        <w:tc>
          <w:tcPr>
            <w:tcW w:w="1526" w:type="pct"/>
            <w:shd w:val="clear" w:color="auto" w:fill="auto"/>
          </w:tcPr>
          <w:p w14:paraId="44FB2C44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96" w:name="lt_pId291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2F70CA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96"/>
          </w:p>
        </w:tc>
        <w:tc>
          <w:tcPr>
            <w:tcW w:w="1699" w:type="pct"/>
            <w:shd w:val="clear" w:color="auto" w:fill="auto"/>
          </w:tcPr>
          <w:p w14:paraId="72DE17D9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18 janvier 2018 (Avis de l’OCRCVM 18-0014)</w:t>
            </w:r>
          </w:p>
          <w:p w14:paraId="4D45D64B" w14:textId="2DF705CA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30 novembre 2017 (Avis de l’OCRCVM </w:t>
            </w:r>
            <w:r w:rsidR="00490340" w:rsidRPr="00E755D9">
              <w:rPr>
                <w:rFonts w:ascii="Arial" w:hAnsi="Arial" w:cs="Arial"/>
                <w:sz w:val="20"/>
                <w:szCs w:val="20"/>
                <w:lang w:val="fr-CA"/>
              </w:rPr>
              <w:t>17-0224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0B3ADBD5" w14:textId="77777777" w:rsidR="009723CB" w:rsidRPr="00E755D9" w:rsidRDefault="006132FE" w:rsidP="006132FE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16B99580" w14:textId="77777777" w:rsidTr="009723CB">
        <w:tc>
          <w:tcPr>
            <w:tcW w:w="1775" w:type="pct"/>
            <w:shd w:val="clear" w:color="auto" w:fill="auto"/>
          </w:tcPr>
          <w:p w14:paraId="4482534F" w14:textId="77777777" w:rsidR="009723CB" w:rsidRPr="00E755D9" w:rsidRDefault="009723CB" w:rsidP="009723CB">
            <w:pPr>
              <w:keepNext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bookmarkStart w:id="197" w:name="lt_pId29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9300 – Procédures de révision en matière de règlementation</w:t>
            </w:r>
            <w:bookmarkEnd w:id="197"/>
          </w:p>
        </w:tc>
        <w:tc>
          <w:tcPr>
            <w:tcW w:w="1526" w:type="pct"/>
            <w:shd w:val="clear" w:color="auto" w:fill="auto"/>
          </w:tcPr>
          <w:p w14:paraId="56C2C75A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198" w:name="lt_pId296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2F70CA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198"/>
          </w:p>
        </w:tc>
        <w:tc>
          <w:tcPr>
            <w:tcW w:w="1699" w:type="pct"/>
            <w:shd w:val="clear" w:color="auto" w:fill="auto"/>
          </w:tcPr>
          <w:p w14:paraId="0966B6BE" w14:textId="77777777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30 novembre 2017 (Avis de l’OCRCVM 18-0014)</w:t>
            </w:r>
          </w:p>
          <w:p w14:paraId="447D51D8" w14:textId="77777777" w:rsidR="009723CB" w:rsidRPr="00E755D9" w:rsidRDefault="006132FE" w:rsidP="006132FE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7B08DDE1" w14:textId="77777777" w:rsidTr="009723CB">
        <w:tc>
          <w:tcPr>
            <w:tcW w:w="1775" w:type="pct"/>
            <w:shd w:val="clear" w:color="auto" w:fill="auto"/>
          </w:tcPr>
          <w:p w14:paraId="68A914A8" w14:textId="77777777" w:rsidR="009723CB" w:rsidRPr="00E755D9" w:rsidRDefault="009723CB" w:rsidP="009723CB">
            <w:pPr>
              <w:keepNext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bookmarkStart w:id="199" w:name="lt_pId29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9400 – Procédures donnant l’occasion d’être entendu</w:t>
            </w:r>
            <w:bookmarkEnd w:id="199"/>
          </w:p>
        </w:tc>
        <w:tc>
          <w:tcPr>
            <w:tcW w:w="1526" w:type="pct"/>
            <w:shd w:val="clear" w:color="auto" w:fill="auto"/>
          </w:tcPr>
          <w:p w14:paraId="398A63F9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0" w:name="lt_pId30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Règles consolidées de mi</w:t>
            </w:r>
            <w:r w:rsidR="002F70CA" w:rsidRPr="00E755D9">
              <w:rPr>
                <w:rFonts w:ascii="Arial" w:hAnsi="Arial" w:cs="Arial"/>
                <w:sz w:val="20"/>
                <w:szCs w:val="20"/>
                <w:lang w:val="fr-CA"/>
              </w:rPr>
              <w:t>se en application publiées le 9 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juin 2016 (Avis de l’OCRCVM 16-0122)</w:t>
            </w:r>
            <w:bookmarkEnd w:id="200"/>
          </w:p>
        </w:tc>
        <w:tc>
          <w:tcPr>
            <w:tcW w:w="1699" w:type="pct"/>
            <w:shd w:val="clear" w:color="auto" w:fill="auto"/>
          </w:tcPr>
          <w:p w14:paraId="0D2A135D" w14:textId="6FC286D4" w:rsidR="006132FE" w:rsidRPr="00E755D9" w:rsidRDefault="006132FE" w:rsidP="006132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30 novembre 2017 (Avis de l’OCRCVM </w:t>
            </w:r>
            <w:r w:rsidR="00490340" w:rsidRPr="00E755D9">
              <w:rPr>
                <w:rFonts w:ascii="Arial" w:hAnsi="Arial" w:cs="Arial"/>
                <w:sz w:val="20"/>
                <w:szCs w:val="20"/>
                <w:lang w:val="fr-CA"/>
              </w:rPr>
              <w:t>17-0224</w:t>
            </w: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22358A57" w14:textId="79D3B4F7" w:rsidR="009723CB" w:rsidRPr="00E755D9" w:rsidRDefault="006132FE" w:rsidP="006132FE">
            <w:pPr>
              <w:pStyle w:val="ListParagraph"/>
              <w:keepNext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</w:tc>
      </w:tr>
      <w:tr w:rsidR="00CE01A2" w:rsidRPr="00CA0444" w14:paraId="3F5D617F" w14:textId="77777777" w:rsidTr="009723CB">
        <w:tc>
          <w:tcPr>
            <w:tcW w:w="1775" w:type="pct"/>
            <w:shd w:val="clear" w:color="auto" w:fill="auto"/>
          </w:tcPr>
          <w:p w14:paraId="1E34FC5F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1" w:name="lt_pId30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9500 – Règlement extrajudiciaire des différends</w:t>
            </w:r>
            <w:bookmarkEnd w:id="201"/>
          </w:p>
        </w:tc>
        <w:tc>
          <w:tcPr>
            <w:tcW w:w="1526" w:type="pct"/>
            <w:shd w:val="clear" w:color="auto" w:fill="auto"/>
          </w:tcPr>
          <w:p w14:paraId="71C29742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2" w:name="lt_pId30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30 mars 201</w:t>
            </w:r>
            <w:bookmarkEnd w:id="202"/>
            <w:r w:rsidR="002F70CA" w:rsidRPr="00E755D9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</w:p>
          <w:p w14:paraId="5131BB82" w14:textId="77777777" w:rsidR="009723CB" w:rsidRPr="00E755D9" w:rsidRDefault="009723CB" w:rsidP="009723CB">
            <w:pPr>
              <w:keepNext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3" w:name="lt_pId30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12-0111)</w:t>
            </w:r>
            <w:bookmarkEnd w:id="203"/>
          </w:p>
        </w:tc>
        <w:tc>
          <w:tcPr>
            <w:tcW w:w="1699" w:type="pct"/>
            <w:shd w:val="clear" w:color="auto" w:fill="auto"/>
          </w:tcPr>
          <w:p w14:paraId="7BF33FDE" w14:textId="77777777" w:rsidR="006132FE" w:rsidRPr="00E755D9" w:rsidRDefault="006132FE" w:rsidP="009723CB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  <w:bookmarkStart w:id="204" w:name="lt_pId307"/>
          </w:p>
          <w:p w14:paraId="3DE61917" w14:textId="77777777" w:rsidR="009723CB" w:rsidRPr="00E755D9" w:rsidRDefault="006132FE" w:rsidP="009723CB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  <w:bookmarkEnd w:id="204"/>
          </w:p>
        </w:tc>
      </w:tr>
      <w:tr w:rsidR="00CE01A2" w:rsidRPr="00CA0444" w14:paraId="01837707" w14:textId="77777777" w:rsidTr="009723CB">
        <w:tc>
          <w:tcPr>
            <w:tcW w:w="1775" w:type="pct"/>
            <w:shd w:val="clear" w:color="auto" w:fill="auto"/>
          </w:tcPr>
          <w:p w14:paraId="7C720C51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5" w:name="lt_pId308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9600 – Frais de conformité</w:t>
            </w:r>
            <w:bookmarkEnd w:id="205"/>
          </w:p>
        </w:tc>
        <w:tc>
          <w:tcPr>
            <w:tcW w:w="1526" w:type="pct"/>
            <w:shd w:val="clear" w:color="auto" w:fill="auto"/>
          </w:tcPr>
          <w:p w14:paraId="3E4F6EB2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6" w:name="lt_pId309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30 mars 2012</w:t>
            </w:r>
            <w:bookmarkEnd w:id="206"/>
          </w:p>
          <w:p w14:paraId="08567277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7" w:name="lt_pId310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12-0111)</w:t>
            </w:r>
            <w:bookmarkEnd w:id="207"/>
          </w:p>
        </w:tc>
        <w:tc>
          <w:tcPr>
            <w:tcW w:w="1699" w:type="pct"/>
            <w:shd w:val="clear" w:color="auto" w:fill="auto"/>
          </w:tcPr>
          <w:p w14:paraId="777203DD" w14:textId="77777777" w:rsidR="006132FE" w:rsidRPr="00E755D9" w:rsidRDefault="006132FE" w:rsidP="00972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mars 2016 (Avis de l’OCRCVM 16-0052)</w:t>
            </w:r>
            <w:bookmarkStart w:id="208" w:name="lt_pId312"/>
          </w:p>
          <w:p w14:paraId="6C0B1DCF" w14:textId="77777777" w:rsidR="009723CB" w:rsidRPr="00E755D9" w:rsidRDefault="009723CB" w:rsidP="00972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Révisions de fond publiées le 20 février 2014</w:t>
            </w:r>
            <w:bookmarkEnd w:id="208"/>
          </w:p>
        </w:tc>
      </w:tr>
      <w:tr w:rsidR="00CE01A2" w:rsidRPr="00CA0444" w14:paraId="49B1D282" w14:textId="77777777" w:rsidTr="009723CB">
        <w:trPr>
          <w:trHeight w:val="323"/>
        </w:trPr>
        <w:tc>
          <w:tcPr>
            <w:tcW w:w="1775" w:type="pct"/>
            <w:shd w:val="clear" w:color="auto" w:fill="auto"/>
          </w:tcPr>
          <w:p w14:paraId="2B79FF84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09" w:name="lt_pId313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Règle 9700 – Fonds canadien de protection des épargnants</w:t>
            </w:r>
            <w:bookmarkEnd w:id="209"/>
          </w:p>
        </w:tc>
        <w:tc>
          <w:tcPr>
            <w:tcW w:w="1526" w:type="pct"/>
            <w:shd w:val="clear" w:color="auto" w:fill="auto"/>
          </w:tcPr>
          <w:p w14:paraId="024C38BC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10" w:name="lt_pId314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30 mars 201</w:t>
            </w:r>
            <w:bookmarkEnd w:id="210"/>
            <w:r w:rsidR="002F70CA" w:rsidRPr="00E755D9"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</w:p>
          <w:p w14:paraId="412931BE" w14:textId="77777777" w:rsidR="009723CB" w:rsidRPr="00E755D9" w:rsidRDefault="009723CB" w:rsidP="009723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11" w:name="lt_pId315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(Avis de l’OCRCVM 12-0111)</w:t>
            </w:r>
            <w:bookmarkEnd w:id="211"/>
          </w:p>
        </w:tc>
        <w:tc>
          <w:tcPr>
            <w:tcW w:w="1699" w:type="pct"/>
            <w:shd w:val="clear" w:color="auto" w:fill="auto"/>
          </w:tcPr>
          <w:p w14:paraId="64661303" w14:textId="77777777" w:rsidR="006132FE" w:rsidRPr="00E755D9" w:rsidRDefault="006132FE" w:rsidP="006132FE">
            <w:pPr>
              <w:pStyle w:val="ListParagraph"/>
              <w:keepNext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9 mars 2017 (Avis de l’OCRCVM 17-0054)</w:t>
            </w:r>
          </w:p>
          <w:p w14:paraId="3AF4501A" w14:textId="77777777" w:rsidR="009723CB" w:rsidRPr="00E755D9" w:rsidRDefault="006132FE" w:rsidP="006132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212" w:name="lt_pId317"/>
            <w:r w:rsidRPr="00E755D9">
              <w:rPr>
                <w:rFonts w:ascii="Arial" w:hAnsi="Arial" w:cs="Arial"/>
                <w:sz w:val="20"/>
                <w:szCs w:val="20"/>
                <w:lang w:val="fr-CA"/>
              </w:rPr>
              <w:t>Modifications publiées le 10 </w:t>
            </w:r>
            <w:r w:rsidR="009723CB" w:rsidRPr="00E755D9">
              <w:rPr>
                <w:rFonts w:ascii="Arial" w:hAnsi="Arial" w:cs="Arial"/>
                <w:sz w:val="20"/>
                <w:szCs w:val="20"/>
                <w:lang w:val="fr-CA"/>
              </w:rPr>
              <w:t>mars 2016 (Avis de l’OCRCVM 16-0052)</w:t>
            </w:r>
            <w:bookmarkEnd w:id="212"/>
          </w:p>
        </w:tc>
      </w:tr>
    </w:tbl>
    <w:p w14:paraId="45E58FA1" w14:textId="77777777" w:rsidR="009723CB" w:rsidRPr="009D7BEE" w:rsidRDefault="009723CB" w:rsidP="009723CB">
      <w:pPr>
        <w:rPr>
          <w:rFonts w:ascii="Arial" w:hAnsi="Arial" w:cs="Arial"/>
          <w:sz w:val="21"/>
          <w:szCs w:val="21"/>
          <w:lang w:val="fr-CA"/>
        </w:rPr>
      </w:pPr>
    </w:p>
    <w:p w14:paraId="12C3FB7E" w14:textId="77777777" w:rsidR="009723CB" w:rsidRPr="009D7BEE" w:rsidRDefault="009723CB" w:rsidP="009723CB">
      <w:pPr>
        <w:spacing w:after="200" w:line="276" w:lineRule="auto"/>
        <w:rPr>
          <w:lang w:val="fr-CA"/>
        </w:rPr>
      </w:pPr>
    </w:p>
    <w:sectPr w:rsidR="009723CB" w:rsidRPr="009D7BEE" w:rsidSect="00A70201">
      <w:footerReference w:type="default" r:id="rId9"/>
      <w:footerReference w:type="first" r:id="rId10"/>
      <w:pgSz w:w="12240" w:h="15840"/>
      <w:pgMar w:top="1267" w:right="1440" w:bottom="1267" w:left="1440" w:header="28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8B927" w14:textId="77777777" w:rsidR="00B64624" w:rsidRDefault="00B64624" w:rsidP="00AB2843">
      <w:r>
        <w:separator/>
      </w:r>
    </w:p>
  </w:endnote>
  <w:endnote w:type="continuationSeparator" w:id="0">
    <w:p w14:paraId="35F933E0" w14:textId="77777777" w:rsidR="00B64624" w:rsidRDefault="00B64624" w:rsidP="00A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491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9672E" w14:textId="0887EBD7" w:rsidR="007425E5" w:rsidRPr="00E031FC" w:rsidRDefault="007425E5">
        <w:pPr>
          <w:pStyle w:val="Footer"/>
          <w:jc w:val="right"/>
          <w:rPr>
            <w:rFonts w:ascii="Calibri" w:hAnsi="Calibri" w:cs="Calibri"/>
            <w:noProof/>
            <w:sz w:val="20"/>
            <w:szCs w:val="18"/>
          </w:rPr>
        </w:pPr>
        <w:r w:rsidRPr="00E031FC">
          <w:rPr>
            <w:rFonts w:ascii="Calibri" w:hAnsi="Calibri" w:cs="Calibri"/>
            <w:sz w:val="20"/>
            <w:szCs w:val="18"/>
          </w:rPr>
          <w:fldChar w:fldCharType="begin"/>
        </w:r>
        <w:r w:rsidRPr="00E031FC">
          <w:rPr>
            <w:rFonts w:ascii="Calibri" w:hAnsi="Calibri" w:cs="Calibri"/>
            <w:sz w:val="20"/>
            <w:szCs w:val="18"/>
          </w:rPr>
          <w:instrText xml:space="preserve"> PAGE   \* MERGEFORMAT </w:instrText>
        </w:r>
        <w:r w:rsidRPr="00E031FC">
          <w:rPr>
            <w:rFonts w:ascii="Calibri" w:hAnsi="Calibri" w:cs="Calibri"/>
            <w:sz w:val="20"/>
            <w:szCs w:val="18"/>
          </w:rPr>
          <w:fldChar w:fldCharType="separate"/>
        </w:r>
        <w:r w:rsidR="00C8709D">
          <w:rPr>
            <w:rFonts w:ascii="Calibri" w:hAnsi="Calibri" w:cs="Calibri"/>
            <w:noProof/>
            <w:sz w:val="20"/>
            <w:szCs w:val="18"/>
          </w:rPr>
          <w:t>10</w:t>
        </w:r>
        <w:r w:rsidRPr="00E031FC">
          <w:rPr>
            <w:rFonts w:ascii="Calibri" w:hAnsi="Calibri" w:cs="Calibri"/>
            <w:noProof/>
            <w:sz w:val="20"/>
            <w:szCs w:val="18"/>
          </w:rPr>
          <w:fldChar w:fldCharType="end"/>
        </w:r>
      </w:p>
      <w:p w14:paraId="40A13147" w14:textId="77777777" w:rsidR="007425E5" w:rsidRPr="00E031FC" w:rsidRDefault="007425E5" w:rsidP="007425E5">
        <w:pPr>
          <w:pStyle w:val="Footer"/>
          <w:rPr>
            <w:rFonts w:ascii="Calibri" w:eastAsiaTheme="minorHAnsi" w:hAnsi="Calibri" w:cs="Calibri"/>
            <w:b/>
            <w:i/>
            <w:sz w:val="20"/>
            <w:szCs w:val="18"/>
            <w:lang w:val="fr-CA"/>
          </w:rPr>
        </w:pPr>
        <w:r w:rsidRPr="00E031FC">
          <w:rPr>
            <w:rFonts w:ascii="Calibri" w:eastAsiaTheme="minorHAnsi" w:hAnsi="Calibri" w:cs="Calibri"/>
            <w:b/>
            <w:i/>
            <w:sz w:val="20"/>
            <w:szCs w:val="18"/>
            <w:lang w:val="fr-CA"/>
          </w:rPr>
          <w:t>ANNEXE 5</w:t>
        </w:r>
      </w:p>
      <w:p w14:paraId="02EC3F2C" w14:textId="27E0F8F1" w:rsidR="007425E5" w:rsidRPr="00E031FC" w:rsidRDefault="007425E5" w:rsidP="007425E5">
        <w:pPr>
          <w:tabs>
            <w:tab w:val="center" w:pos="4680"/>
            <w:tab w:val="right" w:pos="9360"/>
          </w:tabs>
          <w:rPr>
            <w:rFonts w:ascii="Calibri" w:eastAsiaTheme="minorHAnsi" w:hAnsi="Calibri" w:cs="Calibri"/>
            <w:b/>
            <w:i/>
            <w:sz w:val="20"/>
            <w:szCs w:val="18"/>
            <w:lang w:val="fr-CA"/>
          </w:rPr>
        </w:pPr>
        <w:r w:rsidRPr="00E031FC">
          <w:rPr>
            <w:rFonts w:ascii="Calibri" w:eastAsiaTheme="minorHAnsi" w:hAnsi="Calibri" w:cs="Calibri"/>
            <w:b/>
            <w:i/>
            <w:sz w:val="20"/>
            <w:szCs w:val="18"/>
            <w:lang w:val="fr-CA"/>
          </w:rPr>
          <w:t>Avis de l’OCRCVM 19-</w:t>
        </w:r>
        <w:r w:rsidR="00876CBB">
          <w:rPr>
            <w:rFonts w:ascii="Calibri" w:eastAsiaTheme="minorHAnsi" w:hAnsi="Calibri" w:cs="Calibri"/>
            <w:b/>
            <w:i/>
            <w:sz w:val="20"/>
            <w:szCs w:val="18"/>
            <w:lang w:val="fr-CA"/>
          </w:rPr>
          <w:t>0144</w:t>
        </w:r>
        <w:r w:rsidRPr="00E031FC">
          <w:rPr>
            <w:rFonts w:ascii="Calibri" w:eastAsiaTheme="minorHAnsi" w:hAnsi="Calibri" w:cs="Calibri"/>
            <w:b/>
            <w:i/>
            <w:sz w:val="20"/>
            <w:szCs w:val="18"/>
            <w:lang w:val="fr-CA"/>
          </w:rPr>
          <w:t xml:space="preserve"> – Avis sur les règles – Avis d’approbation/de mise en œuvre – Mise en œuvre du projet de Manuel de réglementation en langage simple des courtiers membres de l’OCRCVM</w:t>
        </w:r>
      </w:p>
      <w:p w14:paraId="69808AEC" w14:textId="2DBC244D" w:rsidR="007425E5" w:rsidRDefault="00C8709D" w:rsidP="007425E5">
        <w:pPr>
          <w:pStyle w:val="Footer"/>
        </w:pPr>
      </w:p>
    </w:sdtContent>
  </w:sdt>
  <w:p w14:paraId="268981EA" w14:textId="77777777" w:rsidR="007425E5" w:rsidRDefault="007425E5" w:rsidP="007425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61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9A1ED" w14:textId="66DEAF6E" w:rsidR="007425E5" w:rsidRDefault="00A70201" w:rsidP="007425E5">
        <w:pPr>
          <w:pStyle w:val="Footer"/>
          <w:jc w:val="right"/>
          <w:rPr>
            <w:rFonts w:ascii="Arial" w:hAnsi="Arial" w:cs="Arial"/>
            <w:noProof/>
            <w:sz w:val="20"/>
          </w:rPr>
        </w:pPr>
        <w:r>
          <w:ptab w:relativeTo="margin" w:alignment="center" w:leader="none"/>
        </w:r>
        <w:r w:rsidRPr="00E031FC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E031FC">
          <w:rPr>
            <w:rFonts w:asciiTheme="minorHAnsi" w:hAnsiTheme="minorHAnsi" w:cstheme="minorHAnsi"/>
            <w:sz w:val="20"/>
            <w:szCs w:val="18"/>
          </w:rPr>
          <w:instrText xml:space="preserve"> PAGE   \* MERGEFORMAT </w:instrText>
        </w:r>
        <w:r w:rsidRPr="00E031FC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="00C8709D">
          <w:rPr>
            <w:rFonts w:asciiTheme="minorHAnsi" w:hAnsiTheme="minorHAnsi" w:cstheme="minorHAnsi"/>
            <w:noProof/>
            <w:sz w:val="20"/>
            <w:szCs w:val="18"/>
          </w:rPr>
          <w:t>1</w:t>
        </w:r>
        <w:r w:rsidRPr="00E031FC">
          <w:rPr>
            <w:rFonts w:asciiTheme="minorHAnsi" w:hAnsiTheme="minorHAnsi" w:cstheme="minorHAnsi"/>
            <w:noProof/>
            <w:sz w:val="20"/>
            <w:szCs w:val="18"/>
          </w:rPr>
          <w:fldChar w:fldCharType="end"/>
        </w:r>
      </w:p>
      <w:p w14:paraId="7C58F280" w14:textId="77777777" w:rsidR="007425E5" w:rsidRDefault="00C8709D" w:rsidP="007425E5">
        <w:pPr>
          <w:pStyle w:val="Footer"/>
          <w:rPr>
            <w:noProof/>
          </w:rPr>
        </w:pPr>
      </w:p>
    </w:sdtContent>
  </w:sdt>
  <w:p w14:paraId="5BC12A1C" w14:textId="0B9B8051" w:rsidR="007425E5" w:rsidRPr="00E031FC" w:rsidRDefault="007425E5" w:rsidP="007425E5">
    <w:pPr>
      <w:pStyle w:val="Footer"/>
      <w:rPr>
        <w:rFonts w:asciiTheme="minorHAnsi" w:eastAsiaTheme="minorHAnsi" w:hAnsiTheme="minorHAnsi" w:cstheme="minorHAnsi"/>
        <w:b/>
        <w:i/>
        <w:sz w:val="20"/>
        <w:szCs w:val="20"/>
        <w:lang w:val="fr-CA"/>
      </w:rPr>
    </w:pPr>
    <w:r w:rsidRPr="00E031FC">
      <w:rPr>
        <w:rFonts w:asciiTheme="minorHAnsi" w:eastAsiaTheme="minorHAnsi" w:hAnsiTheme="minorHAnsi" w:cstheme="minorHAnsi"/>
        <w:b/>
        <w:i/>
        <w:sz w:val="20"/>
        <w:szCs w:val="20"/>
        <w:lang w:val="fr-CA"/>
      </w:rPr>
      <w:t xml:space="preserve"> ANNEXE 5</w:t>
    </w:r>
  </w:p>
  <w:p w14:paraId="1C796637" w14:textId="528F0159" w:rsidR="007425E5" w:rsidRPr="00E031FC" w:rsidRDefault="007425E5" w:rsidP="007425E5">
    <w:pPr>
      <w:tabs>
        <w:tab w:val="center" w:pos="4680"/>
        <w:tab w:val="right" w:pos="9360"/>
      </w:tabs>
      <w:rPr>
        <w:rFonts w:asciiTheme="minorHAnsi" w:eastAsiaTheme="minorHAnsi" w:hAnsiTheme="minorHAnsi" w:cstheme="minorHAnsi"/>
        <w:b/>
        <w:i/>
        <w:sz w:val="20"/>
        <w:szCs w:val="20"/>
        <w:lang w:val="fr-CA"/>
      </w:rPr>
    </w:pPr>
    <w:r w:rsidRPr="00E031FC">
      <w:rPr>
        <w:rFonts w:asciiTheme="minorHAnsi" w:eastAsiaTheme="minorHAnsi" w:hAnsiTheme="minorHAnsi" w:cstheme="minorHAnsi"/>
        <w:b/>
        <w:i/>
        <w:sz w:val="20"/>
        <w:szCs w:val="20"/>
        <w:lang w:val="fr-CA"/>
      </w:rPr>
      <w:t>Avis de l’OCRCVM 19-</w:t>
    </w:r>
    <w:r w:rsidR="00876CBB">
      <w:rPr>
        <w:rFonts w:asciiTheme="minorHAnsi" w:eastAsiaTheme="minorHAnsi" w:hAnsiTheme="minorHAnsi" w:cstheme="minorHAnsi"/>
        <w:b/>
        <w:i/>
        <w:sz w:val="20"/>
        <w:szCs w:val="20"/>
        <w:lang w:val="fr-CA"/>
      </w:rPr>
      <w:t>0144</w:t>
    </w:r>
    <w:r w:rsidRPr="00E031FC">
      <w:rPr>
        <w:rFonts w:asciiTheme="minorHAnsi" w:eastAsiaTheme="minorHAnsi" w:hAnsiTheme="minorHAnsi" w:cstheme="minorHAnsi"/>
        <w:b/>
        <w:i/>
        <w:sz w:val="20"/>
        <w:szCs w:val="20"/>
        <w:lang w:val="fr-CA"/>
      </w:rPr>
      <w:t xml:space="preserve"> – Avis sur les règles – Avis d’approbation/de mise en œuvre – Mise en œuvre du projet de Manuel de réglementation en langage simple des courtiers membres de l’OCRCVM</w:t>
    </w:r>
  </w:p>
  <w:p w14:paraId="10888030" w14:textId="5F900416" w:rsidR="00A70201" w:rsidRDefault="00A70201" w:rsidP="007425E5">
    <w:pPr>
      <w:pStyle w:val="Footer"/>
    </w:pPr>
  </w:p>
  <w:p w14:paraId="0F3F756D" w14:textId="77777777" w:rsidR="00A70201" w:rsidRDefault="00A7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7EED" w14:textId="77777777" w:rsidR="00B64624" w:rsidRDefault="00B64624" w:rsidP="00AB2843">
      <w:r>
        <w:separator/>
      </w:r>
    </w:p>
  </w:footnote>
  <w:footnote w:type="continuationSeparator" w:id="0">
    <w:p w14:paraId="6C5363DE" w14:textId="77777777" w:rsidR="00B64624" w:rsidRDefault="00B64624" w:rsidP="00AB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CF1"/>
    <w:multiLevelType w:val="hybridMultilevel"/>
    <w:tmpl w:val="1952C18C"/>
    <w:lvl w:ilvl="0" w:tplc="1D56B4D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5EC400E2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48348740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4330DAFE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D272ECB6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A3BC14F2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E90C2E16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58DC87D0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AD004930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A447E2F"/>
    <w:multiLevelType w:val="hybridMultilevel"/>
    <w:tmpl w:val="5E5ECD1C"/>
    <w:lvl w:ilvl="0" w:tplc="06A2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C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05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6B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2B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49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27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C9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85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D3E"/>
    <w:multiLevelType w:val="hybridMultilevel"/>
    <w:tmpl w:val="70E09E10"/>
    <w:lvl w:ilvl="0" w:tplc="F070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0A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45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E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6F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24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A8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A5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40F"/>
    <w:multiLevelType w:val="hybridMultilevel"/>
    <w:tmpl w:val="CBECAC28"/>
    <w:lvl w:ilvl="0" w:tplc="DF0ED7A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E8D6D6C6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FF475E0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A0D0B2BC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70806BA0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509A95E8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7C3A482E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9A147B5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6054F532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9E17FD1"/>
    <w:multiLevelType w:val="hybridMultilevel"/>
    <w:tmpl w:val="F9E20EB6"/>
    <w:lvl w:ilvl="0" w:tplc="D134581C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90768828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F6F25920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BC929E7A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D8A5C9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E96F734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D72E154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F07EC688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D0E8DD4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13B5199"/>
    <w:multiLevelType w:val="hybridMultilevel"/>
    <w:tmpl w:val="280CC83A"/>
    <w:lvl w:ilvl="0" w:tplc="209A1F5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7B3A01E2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94224E42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CD78FC34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1CE63C4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E6F4DC0E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98CC3B2A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FE423EE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D68C4F28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38957349"/>
    <w:multiLevelType w:val="hybridMultilevel"/>
    <w:tmpl w:val="CD467C44"/>
    <w:lvl w:ilvl="0" w:tplc="8E84DAA4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74AECEFA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FBC448C8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A83CA1C0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ABFA1B76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D36ED94E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6700F5A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699AC400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B02CFC7C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3C4028B8"/>
    <w:multiLevelType w:val="hybridMultilevel"/>
    <w:tmpl w:val="B4D27330"/>
    <w:lvl w:ilvl="0" w:tplc="CA24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E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0C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2A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ED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2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EB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60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2821"/>
    <w:multiLevelType w:val="hybridMultilevel"/>
    <w:tmpl w:val="B0C889C8"/>
    <w:lvl w:ilvl="0" w:tplc="DD90756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433E288C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E5D854EC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54D271E6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56B186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CFA0CDD4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D7DCABD4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5BEE56B6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E12E27FE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60BE12FD"/>
    <w:multiLevelType w:val="hybridMultilevel"/>
    <w:tmpl w:val="96002756"/>
    <w:lvl w:ilvl="0" w:tplc="F8462F12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EBED0C4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8872154C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50648AC0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5EFA0B3E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B53C6E3A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1D644DE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623E71CA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DE2A6AEA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24715E2"/>
    <w:multiLevelType w:val="hybridMultilevel"/>
    <w:tmpl w:val="705C0E32"/>
    <w:lvl w:ilvl="0" w:tplc="0472D856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D4FC48C2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B172F364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C67AE752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C78E0D6C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511ABB7C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C929AF8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B916112A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EFD0C5AE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1" w15:restartNumberingAfterBreak="0">
    <w:nsid w:val="6D077CCA"/>
    <w:multiLevelType w:val="hybridMultilevel"/>
    <w:tmpl w:val="35521C9A"/>
    <w:lvl w:ilvl="0" w:tplc="A85E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41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C6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4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7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C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64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B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CB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A2"/>
    <w:rsid w:val="0009756A"/>
    <w:rsid w:val="000C2121"/>
    <w:rsid w:val="000E10CA"/>
    <w:rsid w:val="001846D4"/>
    <w:rsid w:val="001C4117"/>
    <w:rsid w:val="001E3696"/>
    <w:rsid w:val="00231E0F"/>
    <w:rsid w:val="002415BC"/>
    <w:rsid w:val="0028444F"/>
    <w:rsid w:val="002935FD"/>
    <w:rsid w:val="002F70CA"/>
    <w:rsid w:val="003465BB"/>
    <w:rsid w:val="003841B6"/>
    <w:rsid w:val="00490340"/>
    <w:rsid w:val="00506C96"/>
    <w:rsid w:val="00516913"/>
    <w:rsid w:val="00516DDA"/>
    <w:rsid w:val="00560512"/>
    <w:rsid w:val="006132FE"/>
    <w:rsid w:val="00614BDA"/>
    <w:rsid w:val="0069626E"/>
    <w:rsid w:val="007425E5"/>
    <w:rsid w:val="0079215D"/>
    <w:rsid w:val="00815D4E"/>
    <w:rsid w:val="00876CBB"/>
    <w:rsid w:val="008941ED"/>
    <w:rsid w:val="008C35D0"/>
    <w:rsid w:val="008E65E4"/>
    <w:rsid w:val="00961AC5"/>
    <w:rsid w:val="009723CB"/>
    <w:rsid w:val="00982E83"/>
    <w:rsid w:val="009D7BEE"/>
    <w:rsid w:val="00A70201"/>
    <w:rsid w:val="00AB2843"/>
    <w:rsid w:val="00B64624"/>
    <w:rsid w:val="00B91EFD"/>
    <w:rsid w:val="00BC6D90"/>
    <w:rsid w:val="00BD5A7F"/>
    <w:rsid w:val="00BF172A"/>
    <w:rsid w:val="00C01715"/>
    <w:rsid w:val="00C2027F"/>
    <w:rsid w:val="00C5627B"/>
    <w:rsid w:val="00C81BC0"/>
    <w:rsid w:val="00C8709D"/>
    <w:rsid w:val="00CA0444"/>
    <w:rsid w:val="00CE01A2"/>
    <w:rsid w:val="00CF4950"/>
    <w:rsid w:val="00D27137"/>
    <w:rsid w:val="00D469D1"/>
    <w:rsid w:val="00D52359"/>
    <w:rsid w:val="00E031FC"/>
    <w:rsid w:val="00E755D9"/>
    <w:rsid w:val="00F20CF3"/>
    <w:rsid w:val="00F42CC5"/>
    <w:rsid w:val="00F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C70256"/>
  <w15:docId w15:val="{E4AF00E6-B6FB-402D-941F-C28ED150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2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8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60029c-75c2-4a51-84ce-774907781467" origin="userSelected">
  <element uid="7b29eb43-94bf-497b-96b1-dc0f72c7ce0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AC03F81F6E4184B6D028B1120DB7" ma:contentTypeVersion="6" ma:contentTypeDescription="Create a new document." ma:contentTypeScope="" ma:versionID="af17d4342b6bc040f0fa12424ae5c8af">
  <xsd:schema xmlns:xsd="http://www.w3.org/2001/XMLSchema" xmlns:xs="http://www.w3.org/2001/XMLSchema" xmlns:p="http://schemas.microsoft.com/office/2006/metadata/properties" xmlns:ns2="246881c2-6a4d-4eff-85f6-40b64d536cc8" xmlns:ns3="54d51461-6ccb-49fc-87c1-62a00e6831fb" targetNamespace="http://schemas.microsoft.com/office/2006/metadata/properties" ma:root="true" ma:fieldsID="8cb2b027885700a8c537a0657bef7333" ns2:_="" ns3:_="">
    <xsd:import namespace="246881c2-6a4d-4eff-85f6-40b64d536cc8"/>
    <xsd:import namespace="54d51461-6ccb-49fc-87c1-62a00e68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81c2-6a4d-4eff-85f6-40b64d536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51461-6ccb-49fc-87c1-62a00e683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0BF3-5D2F-4E69-BD4A-89470C84DD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89C7DF-8120-4A8E-B22B-E3F0BC8E4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ABFA3-A910-4ABC-B653-F5BBE1D94071}"/>
</file>

<file path=customXml/itemProps4.xml><?xml version="1.0" encoding="utf-8"?>
<ds:datastoreItem xmlns:ds="http://schemas.openxmlformats.org/officeDocument/2006/customXml" ds:itemID="{FEBCB0AF-89F2-4271-BB6E-78FA0FD78525}"/>
</file>

<file path=customXml/itemProps5.xml><?xml version="1.0" encoding="utf-8"?>
<ds:datastoreItem xmlns:ds="http://schemas.openxmlformats.org/officeDocument/2006/customXml" ds:itemID="{E7E61977-094A-4E2D-B7DA-600689813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14681</Characters>
  <Application>Microsoft Office Word</Application>
  <DocSecurity>4</DocSecurity>
  <Lines>367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IIROC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Gerhart</dc:creator>
  <cp:keywords>[OYRCpublic]</cp:keywords>
  <cp:lastModifiedBy>Diane Raulino</cp:lastModifiedBy>
  <cp:revision>2</cp:revision>
  <cp:lastPrinted>2018-12-21T14:20:00Z</cp:lastPrinted>
  <dcterms:created xsi:type="dcterms:W3CDTF">2019-08-19T17:42:00Z</dcterms:created>
  <dcterms:modified xsi:type="dcterms:W3CDTF">2019-08-19T17:42:00Z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policy="d460029c-75c2-4a51-84ce-774907781467" origin="userSelected" xmlns="http://www.boldonj</vt:lpwstr>
  </property>
  <property fmtid="{D5CDD505-2E9C-101B-9397-08002B2CF9AE}" pid="3" name="bjDocumentLabelXML-0">
    <vt:lpwstr>ames.com/2008/01/sie/internal/label"&gt;&lt;element uid="7b29eb43-94bf-497b-96b1-dc0f72c7ce0f" value="" /&gt;&lt;/sisl&gt;</vt:lpwstr>
  </property>
  <property fmtid="{D5CDD505-2E9C-101B-9397-08002B2CF9AE}" pid="4" name="bjSaver">
    <vt:lpwstr>z7e1NrPjQzMnqFkyYOVI4xzCxaQOL+0n</vt:lpwstr>
  </property>
  <property fmtid="{D5CDD505-2E9C-101B-9397-08002B2CF9AE}" pid="5" name="docIndexRef">
    <vt:lpwstr>1e9488e9-69df-4da0-a8ff-7cd119e40536</vt:lpwstr>
  </property>
  <property fmtid="{D5CDD505-2E9C-101B-9397-08002B2CF9AE}" pid="6" name="bjDocumentSecurityLabel">
    <vt:lpwstr>Public</vt:lpwstr>
  </property>
  <property fmtid="{D5CDD505-2E9C-101B-9397-08002B2CF9AE}" pid="7" name="ContentTypeId">
    <vt:lpwstr>0x010100BE68AC03F81F6E4184B6D028B1120DB7</vt:lpwstr>
  </property>
  <property fmtid="{D5CDD505-2E9C-101B-9397-08002B2CF9AE}" pid="8" name="Order">
    <vt:r8>100</vt:r8>
  </property>
</Properties>
</file>