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EEDF0" w14:textId="184135ED" w:rsidR="004E5CB6" w:rsidRPr="004E5CB6" w:rsidRDefault="004E5CB6" w:rsidP="004E5CB6">
      <w:pPr>
        <w:spacing w:before="12" w:line="278" w:lineRule="auto"/>
        <w:ind w:left="20" w:right="-2"/>
        <w:rPr>
          <w:rFonts w:ascii="Arial" w:hAnsi="Arial" w:cs="Arial"/>
          <w:b/>
          <w:sz w:val="20"/>
          <w:szCs w:val="20"/>
          <w:lang w:val="fr-CA"/>
        </w:rPr>
      </w:pPr>
      <w:bookmarkStart w:id="0" w:name="lt_pId002"/>
      <w:bookmarkStart w:id="1" w:name="_GoBack"/>
      <w:bookmarkEnd w:id="1"/>
      <w:r w:rsidRPr="004E5CB6">
        <w:rPr>
          <w:rFonts w:ascii="Arial" w:hAnsi="Arial" w:cs="Arial"/>
          <w:b/>
          <w:sz w:val="20"/>
          <w:szCs w:val="20"/>
          <w:lang w:val="fr-CA"/>
        </w:rPr>
        <w:t>Commentaires reçus en réponse à l’Avis sur les règles</w:t>
      </w:r>
      <w:r w:rsidR="00EE1F35">
        <w:rPr>
          <w:rFonts w:ascii="Arial" w:hAnsi="Arial" w:cs="Arial"/>
          <w:b/>
          <w:sz w:val="20"/>
          <w:szCs w:val="20"/>
          <w:lang w:val="fr-CA"/>
        </w:rPr>
        <w:t> </w:t>
      </w:r>
      <w:r w:rsidRPr="004E5CB6">
        <w:rPr>
          <w:rFonts w:ascii="Arial" w:hAnsi="Arial" w:cs="Arial"/>
          <w:b/>
          <w:sz w:val="20"/>
          <w:szCs w:val="20"/>
          <w:lang w:val="fr-CA"/>
        </w:rPr>
        <w:t>18-0014 – Avis sur les règles – Appel à commentaires – Règles des courtiers membres – Nouvelle publication du projet de Manuel de réglementation en langage simple des courtiers membres de l’OCRCVM</w:t>
      </w:r>
      <w:bookmarkEnd w:id="0"/>
    </w:p>
    <w:p w14:paraId="11470EFA" w14:textId="4902651A" w:rsidR="0043737B" w:rsidRPr="006D2A16" w:rsidRDefault="004E5CB6">
      <w:pPr>
        <w:rPr>
          <w:rFonts w:ascii="Arial" w:hAnsi="Arial" w:cs="Arial"/>
          <w:sz w:val="20"/>
          <w:szCs w:val="20"/>
          <w:lang w:val="fr-CA"/>
        </w:rPr>
      </w:pPr>
      <w:r w:rsidRPr="006D2A16">
        <w:rPr>
          <w:rFonts w:ascii="Arial" w:hAnsi="Arial" w:cs="Arial"/>
          <w:sz w:val="20"/>
          <w:szCs w:val="20"/>
          <w:lang w:val="fr-CA"/>
        </w:rPr>
        <w:t>Le 18 janvier 2018, l’OCRCVM a publié l’Avis</w:t>
      </w:r>
      <w:r w:rsidR="00EE1F35" w:rsidRPr="006D2A16">
        <w:rPr>
          <w:rFonts w:ascii="Arial" w:hAnsi="Arial" w:cs="Arial"/>
          <w:sz w:val="20"/>
          <w:szCs w:val="20"/>
          <w:lang w:val="fr-CA"/>
        </w:rPr>
        <w:t> </w:t>
      </w:r>
      <w:r w:rsidRPr="006D2A16">
        <w:rPr>
          <w:rFonts w:ascii="Arial" w:hAnsi="Arial" w:cs="Arial"/>
          <w:sz w:val="20"/>
          <w:szCs w:val="20"/>
          <w:lang w:val="fr-CA"/>
        </w:rPr>
        <w:t>18-0014 sollicitant des commentaires sur le projet de Manuel de réglementation en langage simple des courtiers membres de l’OCRCVM (</w:t>
      </w:r>
      <w:r w:rsidRPr="006D2A16">
        <w:rPr>
          <w:rFonts w:ascii="Arial" w:hAnsi="Arial" w:cs="Arial"/>
          <w:b/>
          <w:sz w:val="20"/>
          <w:szCs w:val="20"/>
          <w:lang w:val="fr-CA"/>
        </w:rPr>
        <w:t xml:space="preserve">le Manuel de réglementation </w:t>
      </w:r>
      <w:r w:rsidR="00EB1205" w:rsidRPr="006D2A16">
        <w:rPr>
          <w:rFonts w:ascii="Arial" w:hAnsi="Arial" w:cs="Arial"/>
          <w:b/>
          <w:sz w:val="20"/>
          <w:szCs w:val="20"/>
          <w:lang w:val="fr-CA"/>
        </w:rPr>
        <w:t>RLS</w:t>
      </w:r>
      <w:r w:rsidRPr="006D2A16">
        <w:rPr>
          <w:rFonts w:ascii="Arial" w:hAnsi="Arial" w:cs="Arial"/>
          <w:b/>
          <w:sz w:val="20"/>
          <w:szCs w:val="20"/>
          <w:lang w:val="fr-CA"/>
        </w:rPr>
        <w:t xml:space="preserve"> ou les RLS</w:t>
      </w:r>
      <w:r w:rsidRPr="006D2A16">
        <w:rPr>
          <w:rFonts w:ascii="Arial" w:hAnsi="Arial" w:cs="Arial"/>
          <w:sz w:val="20"/>
          <w:szCs w:val="20"/>
          <w:lang w:val="fr-CA"/>
        </w:rPr>
        <w:t>). L’OCRCVM a reçu des commentaires des entités suivantes :</w:t>
      </w:r>
    </w:p>
    <w:p w14:paraId="3789E712" w14:textId="77777777" w:rsidR="004E5CB6" w:rsidRPr="006D2A16" w:rsidRDefault="004E5CB6" w:rsidP="002A6018">
      <w:pPr>
        <w:pStyle w:val="BodyText"/>
        <w:spacing w:before="34"/>
        <w:jc w:val="center"/>
        <w:rPr>
          <w:rFonts w:ascii="Arial" w:hAnsi="Arial" w:cs="Arial"/>
          <w:sz w:val="20"/>
          <w:lang w:val="fr-CA"/>
        </w:rPr>
      </w:pPr>
      <w:r w:rsidRPr="006D2A16">
        <w:rPr>
          <w:rFonts w:ascii="Arial" w:hAnsi="Arial" w:cs="Arial"/>
          <w:sz w:val="20"/>
          <w:lang w:val="fr-CA"/>
        </w:rPr>
        <w:t>Association canadienne du commerce des valeurs mobilières</w:t>
      </w:r>
    </w:p>
    <w:p w14:paraId="00B408ED" w14:textId="77777777" w:rsidR="004E5CB6" w:rsidRPr="006D2A16" w:rsidRDefault="004E5CB6" w:rsidP="002A6018">
      <w:pPr>
        <w:pStyle w:val="BodyText"/>
        <w:spacing w:before="34"/>
        <w:jc w:val="center"/>
        <w:rPr>
          <w:rFonts w:ascii="Arial" w:hAnsi="Arial" w:cs="Arial"/>
          <w:sz w:val="20"/>
          <w:lang w:val="fr-CA"/>
        </w:rPr>
      </w:pPr>
      <w:r w:rsidRPr="006D2A16">
        <w:rPr>
          <w:rFonts w:ascii="Arial" w:hAnsi="Arial" w:cs="Arial"/>
          <w:sz w:val="20"/>
          <w:lang w:val="fr-CA"/>
        </w:rPr>
        <w:t>BMO Marchés des capitaux</w:t>
      </w:r>
    </w:p>
    <w:p w14:paraId="11CE4AB1" w14:textId="77777777" w:rsidR="004E5CB6" w:rsidRPr="006D2A16" w:rsidRDefault="004E5CB6" w:rsidP="002A6018">
      <w:pPr>
        <w:pStyle w:val="BodyText"/>
        <w:spacing w:before="34"/>
        <w:jc w:val="center"/>
        <w:rPr>
          <w:rFonts w:ascii="Arial" w:hAnsi="Arial" w:cs="Arial"/>
          <w:sz w:val="20"/>
          <w:lang w:val="fr-CA"/>
        </w:rPr>
      </w:pPr>
      <w:r w:rsidRPr="006D2A16">
        <w:rPr>
          <w:rFonts w:ascii="Arial" w:hAnsi="Arial" w:cs="Arial"/>
          <w:sz w:val="20"/>
          <w:lang w:val="fr-CA"/>
        </w:rPr>
        <w:t>Canaccord Genuity Corp.</w:t>
      </w:r>
    </w:p>
    <w:p w14:paraId="4AEE86B5" w14:textId="77777777" w:rsidR="004E5CB6" w:rsidRPr="006D2A16" w:rsidRDefault="004E5CB6" w:rsidP="002A6018">
      <w:pPr>
        <w:pStyle w:val="BodyText"/>
        <w:spacing w:before="34"/>
        <w:jc w:val="center"/>
        <w:rPr>
          <w:rFonts w:ascii="Arial" w:hAnsi="Arial" w:cs="Arial"/>
          <w:sz w:val="20"/>
          <w:lang w:val="fr-CA"/>
        </w:rPr>
      </w:pPr>
      <w:r w:rsidRPr="006D2A16">
        <w:rPr>
          <w:rFonts w:ascii="Arial" w:hAnsi="Arial" w:cs="Arial"/>
          <w:sz w:val="20"/>
          <w:lang w:val="fr-CA"/>
        </w:rPr>
        <w:t>Financière Banque Nationale</w:t>
      </w:r>
    </w:p>
    <w:p w14:paraId="4FECB2C1" w14:textId="77777777" w:rsidR="004E5CB6" w:rsidRPr="006D2A16" w:rsidRDefault="004E5CB6" w:rsidP="002A6018">
      <w:pPr>
        <w:pStyle w:val="BodyText"/>
        <w:spacing w:before="34"/>
        <w:jc w:val="center"/>
        <w:rPr>
          <w:rFonts w:ascii="Arial" w:hAnsi="Arial" w:cs="Arial"/>
          <w:sz w:val="20"/>
          <w:lang w:val="fr-CA"/>
        </w:rPr>
      </w:pPr>
      <w:r w:rsidRPr="006D2A16">
        <w:rPr>
          <w:rFonts w:ascii="Arial" w:hAnsi="Arial" w:cs="Arial"/>
          <w:sz w:val="20"/>
          <w:lang w:val="fr-CA"/>
        </w:rPr>
        <w:t>Fondation canadienne pour l’avancement des droits des investisseurs</w:t>
      </w:r>
    </w:p>
    <w:p w14:paraId="7AC6B658" w14:textId="77777777" w:rsidR="004E5CB6" w:rsidRPr="006D2A16" w:rsidRDefault="004E5CB6" w:rsidP="002A6018">
      <w:pPr>
        <w:pStyle w:val="BodyText"/>
        <w:spacing w:before="34"/>
        <w:jc w:val="center"/>
        <w:rPr>
          <w:rFonts w:ascii="Arial" w:hAnsi="Arial" w:cs="Arial"/>
          <w:sz w:val="20"/>
          <w:lang w:val="fr-CA"/>
        </w:rPr>
      </w:pPr>
      <w:r w:rsidRPr="006D2A16">
        <w:rPr>
          <w:rFonts w:ascii="Arial" w:hAnsi="Arial" w:cs="Arial"/>
          <w:sz w:val="20"/>
          <w:lang w:val="fr-CA"/>
        </w:rPr>
        <w:t>Kenmar Associates</w:t>
      </w:r>
    </w:p>
    <w:p w14:paraId="4C6905D2" w14:textId="77777777" w:rsidR="004E5CB6" w:rsidRPr="006D2A16" w:rsidRDefault="004E5CB6" w:rsidP="002A6018">
      <w:pPr>
        <w:pStyle w:val="BodyText"/>
        <w:spacing w:before="34"/>
        <w:jc w:val="center"/>
        <w:rPr>
          <w:rFonts w:ascii="Arial" w:hAnsi="Arial" w:cs="Arial"/>
          <w:sz w:val="20"/>
          <w:lang w:val="fr-CA"/>
        </w:rPr>
      </w:pPr>
      <w:r w:rsidRPr="006D2A16">
        <w:rPr>
          <w:rFonts w:ascii="Arial" w:hAnsi="Arial" w:cs="Arial"/>
          <w:sz w:val="20"/>
          <w:lang w:val="fr-CA"/>
        </w:rPr>
        <w:t>RBC Dominion valeurs mobilières Inc. et RBC Placements en Direct</w:t>
      </w:r>
    </w:p>
    <w:p w14:paraId="4F80860A" w14:textId="77777777" w:rsidR="004E5CB6" w:rsidRPr="006D2A16" w:rsidRDefault="004E5CB6" w:rsidP="002A6018">
      <w:pPr>
        <w:pStyle w:val="BodyText"/>
        <w:spacing w:before="34"/>
        <w:jc w:val="center"/>
        <w:rPr>
          <w:rFonts w:ascii="Arial" w:hAnsi="Arial" w:cs="Arial"/>
          <w:sz w:val="20"/>
          <w:lang w:val="fr-CA"/>
        </w:rPr>
      </w:pPr>
      <w:r w:rsidRPr="006D2A16">
        <w:rPr>
          <w:rFonts w:ascii="Arial" w:hAnsi="Arial" w:cs="Arial"/>
          <w:sz w:val="20"/>
          <w:lang w:val="fr-CA"/>
        </w:rPr>
        <w:t>Scotia Capitaux Inc.</w:t>
      </w:r>
    </w:p>
    <w:p w14:paraId="5BF1E124" w14:textId="77777777" w:rsidR="004E5CB6" w:rsidRPr="006D2A16" w:rsidRDefault="004E5CB6" w:rsidP="002A6018">
      <w:pPr>
        <w:pStyle w:val="BodyText"/>
        <w:spacing w:before="34"/>
        <w:jc w:val="center"/>
        <w:rPr>
          <w:rFonts w:ascii="Arial" w:hAnsi="Arial" w:cs="Arial"/>
          <w:sz w:val="20"/>
          <w:lang w:val="fr-CA"/>
        </w:rPr>
      </w:pPr>
      <w:r w:rsidRPr="006D2A16">
        <w:rPr>
          <w:rFonts w:ascii="Arial" w:hAnsi="Arial" w:cs="Arial"/>
          <w:sz w:val="20"/>
          <w:lang w:val="fr-CA"/>
        </w:rPr>
        <w:t>Valeurs mobilières Desjardins inc.</w:t>
      </w:r>
    </w:p>
    <w:p w14:paraId="67C663C6" w14:textId="0F9B399A" w:rsidR="002A6018" w:rsidRPr="006D2A16" w:rsidRDefault="002A6018" w:rsidP="004E5CB6">
      <w:pPr>
        <w:pStyle w:val="BodyText"/>
        <w:spacing w:before="34"/>
        <w:rPr>
          <w:rFonts w:ascii="Arial" w:hAnsi="Arial" w:cs="Arial"/>
          <w:sz w:val="20"/>
          <w:szCs w:val="20"/>
          <w:lang w:val="fr-CA"/>
        </w:rPr>
      </w:pPr>
    </w:p>
    <w:p w14:paraId="1912BBD4" w14:textId="2ABCCA37" w:rsidR="002A6018" w:rsidRPr="006D2A16" w:rsidRDefault="004E5CB6" w:rsidP="00535F12">
      <w:pPr>
        <w:pStyle w:val="BodyText"/>
        <w:spacing w:before="13" w:line="278" w:lineRule="auto"/>
        <w:ind w:left="20" w:right="5" w:hanging="1"/>
        <w:rPr>
          <w:rFonts w:ascii="Arial" w:hAnsi="Arial" w:cs="Arial"/>
          <w:sz w:val="20"/>
          <w:szCs w:val="20"/>
          <w:lang w:val="fr-CA"/>
        </w:rPr>
      </w:pPr>
      <w:r w:rsidRPr="006D2A16">
        <w:rPr>
          <w:rFonts w:ascii="Arial" w:hAnsi="Arial" w:cs="Arial"/>
          <w:sz w:val="20"/>
          <w:szCs w:val="20"/>
          <w:lang w:val="fr-CA"/>
        </w:rPr>
        <w:t>Il est possible de consulter les lettres de commentaires sur le site Internet de l’OCRCVM (</w:t>
      </w:r>
      <w:hyperlink r:id="rId9" w:history="1">
        <w:r w:rsidRPr="006D2A16">
          <w:rPr>
            <w:rStyle w:val="Hyperlink"/>
            <w:rFonts w:ascii="Arial" w:hAnsi="Arial" w:cs="Arial"/>
            <w:sz w:val="20"/>
            <w:szCs w:val="20"/>
            <w:lang w:val="fr-CA"/>
          </w:rPr>
          <w:t>www.ocrcvm.ca</w:t>
        </w:r>
      </w:hyperlink>
      <w:r w:rsidRPr="006D2A16">
        <w:rPr>
          <w:rFonts w:ascii="Arial" w:hAnsi="Arial" w:cs="Arial"/>
          <w:sz w:val="20"/>
          <w:szCs w:val="20"/>
          <w:lang w:val="fr-CA"/>
        </w:rPr>
        <w:t>). Nous désirons remercier tous les intervenants de leurs commentaires. Les commentaires reçus et nos réponses à ceux-ci sont résumés dans le tableau suivant</w:t>
      </w:r>
      <w:r w:rsidR="00F24981" w:rsidRPr="006D2A16">
        <w:rPr>
          <w:rFonts w:ascii="Arial" w:hAnsi="Arial" w:cs="Arial"/>
          <w:sz w:val="20"/>
          <w:szCs w:val="20"/>
          <w:lang w:val="fr-CA"/>
        </w:rPr>
        <w:t> </w:t>
      </w:r>
      <w:r w:rsidRPr="006D2A16">
        <w:rPr>
          <w:rFonts w:ascii="Arial" w:hAnsi="Arial" w:cs="Arial"/>
          <w:sz w:val="20"/>
          <w:szCs w:val="20"/>
          <w:lang w:val="fr-CA"/>
        </w:rPr>
        <w:t>:</w:t>
      </w:r>
    </w:p>
    <w:p w14:paraId="2F58B5D8" w14:textId="77777777" w:rsidR="00B02567" w:rsidRPr="006D2A16" w:rsidRDefault="00B02567" w:rsidP="002A6018">
      <w:pPr>
        <w:pStyle w:val="BodyText"/>
        <w:spacing w:before="13" w:line="278" w:lineRule="auto"/>
        <w:ind w:left="20" w:right="5" w:hanging="1"/>
        <w:rPr>
          <w:rFonts w:ascii="Arial" w:hAnsi="Arial" w:cs="Arial"/>
          <w:sz w:val="20"/>
          <w:szCs w:val="20"/>
          <w:lang w:val="fr-CA"/>
        </w:rPr>
      </w:pPr>
    </w:p>
    <w:tbl>
      <w:tblPr>
        <w:tblStyle w:val="TableGrid"/>
        <w:tblW w:w="5094" w:type="pct"/>
        <w:tblLook w:val="04A0" w:firstRow="1" w:lastRow="0" w:firstColumn="1" w:lastColumn="0" w:noHBand="0" w:noVBand="1"/>
      </w:tblPr>
      <w:tblGrid>
        <w:gridCol w:w="8689"/>
        <w:gridCol w:w="4496"/>
        <w:gridCol w:w="8"/>
      </w:tblGrid>
      <w:tr w:rsidR="0043737B" w:rsidRPr="006D2A16" w14:paraId="2308A5FB" w14:textId="77777777" w:rsidTr="006D2A16">
        <w:trPr>
          <w:gridAfter w:val="1"/>
          <w:wAfter w:w="3" w:type="pct"/>
          <w:trHeight w:val="557"/>
          <w:tblHeader/>
        </w:trPr>
        <w:tc>
          <w:tcPr>
            <w:tcW w:w="3293" w:type="pct"/>
            <w:shd w:val="clear" w:color="auto" w:fill="FABF8F" w:themeFill="accent6" w:themeFillTint="99"/>
            <w:vAlign w:val="center"/>
          </w:tcPr>
          <w:p w14:paraId="6BAE0639" w14:textId="4F81A110" w:rsidR="0043737B" w:rsidRPr="0043737B" w:rsidRDefault="004E5CB6" w:rsidP="00B02567">
            <w:pPr>
              <w:jc w:val="center"/>
              <w:rPr>
                <w:rFonts w:ascii="Arial" w:hAnsi="Arial" w:cs="Arial"/>
                <w:b/>
                <w:color w:val="FFFFFF" w:themeColor="background1"/>
                <w:sz w:val="20"/>
                <w:szCs w:val="20"/>
              </w:rPr>
            </w:pPr>
            <w:r>
              <w:rPr>
                <w:rFonts w:ascii="Arial" w:hAnsi="Arial" w:cs="Arial"/>
                <w:b/>
                <w:color w:val="FFFFFF" w:themeColor="background1"/>
                <w:sz w:val="20"/>
                <w:szCs w:val="20"/>
              </w:rPr>
              <w:t>Résumé des commentaires</w:t>
            </w:r>
          </w:p>
        </w:tc>
        <w:tc>
          <w:tcPr>
            <w:tcW w:w="1704" w:type="pct"/>
            <w:shd w:val="clear" w:color="auto" w:fill="FABF8F" w:themeFill="accent6" w:themeFillTint="99"/>
            <w:vAlign w:val="center"/>
          </w:tcPr>
          <w:p w14:paraId="0E31AEB9" w14:textId="28776179" w:rsidR="0043737B" w:rsidRPr="006D2A16" w:rsidRDefault="004E5CB6" w:rsidP="00AF1118">
            <w:pPr>
              <w:jc w:val="center"/>
              <w:rPr>
                <w:rFonts w:ascii="Arial" w:hAnsi="Arial" w:cs="Arial"/>
                <w:b/>
                <w:color w:val="FFFFFF" w:themeColor="background1"/>
                <w:sz w:val="20"/>
                <w:szCs w:val="20"/>
                <w:lang w:val="fr-CA"/>
              </w:rPr>
            </w:pPr>
            <w:r w:rsidRPr="006D2A16">
              <w:rPr>
                <w:rFonts w:ascii="Arial" w:hAnsi="Arial" w:cs="Arial"/>
                <w:b/>
                <w:color w:val="FFFFFF" w:themeColor="background1"/>
                <w:sz w:val="20"/>
                <w:szCs w:val="20"/>
                <w:lang w:val="fr-CA"/>
              </w:rPr>
              <w:t>Réponses et commentaires additionnels de</w:t>
            </w:r>
            <w:r w:rsidR="00AF1118">
              <w:rPr>
                <w:rFonts w:ascii="Arial" w:hAnsi="Arial" w:cs="Arial"/>
                <w:b/>
                <w:color w:val="FFFFFF" w:themeColor="background1"/>
                <w:sz w:val="20"/>
                <w:szCs w:val="20"/>
                <w:lang w:val="fr-CA"/>
              </w:rPr>
              <w:t> </w:t>
            </w:r>
            <w:r w:rsidRPr="006D2A16">
              <w:rPr>
                <w:rFonts w:ascii="Arial" w:hAnsi="Arial" w:cs="Arial"/>
                <w:b/>
                <w:color w:val="FFFFFF" w:themeColor="background1"/>
                <w:sz w:val="20"/>
                <w:szCs w:val="20"/>
                <w:lang w:val="fr-CA"/>
              </w:rPr>
              <w:t>l’OCRCVM</w:t>
            </w:r>
          </w:p>
        </w:tc>
      </w:tr>
      <w:tr w:rsidR="0043737B" w:rsidRPr="00F67CAF" w14:paraId="47E02D6D" w14:textId="77777777" w:rsidTr="006D2A16">
        <w:trPr>
          <w:trHeight w:val="413"/>
        </w:trPr>
        <w:tc>
          <w:tcPr>
            <w:tcW w:w="5000" w:type="pct"/>
            <w:gridSpan w:val="3"/>
            <w:shd w:val="clear" w:color="auto" w:fill="FBD4B4" w:themeFill="accent6" w:themeFillTint="66"/>
          </w:tcPr>
          <w:p w14:paraId="5B9D9814" w14:textId="659EEE7A" w:rsidR="0043737B" w:rsidRPr="0043737B" w:rsidRDefault="004E5CB6" w:rsidP="00D73131">
            <w:pPr>
              <w:rPr>
                <w:rFonts w:ascii="Arial" w:hAnsi="Arial" w:cs="Arial"/>
                <w:b/>
                <w:sz w:val="20"/>
              </w:rPr>
            </w:pPr>
            <w:r>
              <w:rPr>
                <w:rFonts w:ascii="Arial" w:hAnsi="Arial" w:cs="Arial"/>
                <w:b/>
                <w:sz w:val="20"/>
              </w:rPr>
              <w:t>Commentaires d’ordre général</w:t>
            </w:r>
          </w:p>
        </w:tc>
      </w:tr>
      <w:tr w:rsidR="0043737B" w:rsidRPr="006D2A16" w14:paraId="0C180F5F" w14:textId="77777777" w:rsidTr="006D2A16">
        <w:trPr>
          <w:gridAfter w:val="1"/>
          <w:wAfter w:w="3" w:type="pct"/>
          <w:trHeight w:val="1718"/>
        </w:trPr>
        <w:tc>
          <w:tcPr>
            <w:tcW w:w="3293" w:type="pct"/>
            <w:shd w:val="clear" w:color="auto" w:fill="auto"/>
          </w:tcPr>
          <w:p w14:paraId="175894E7" w14:textId="08E033B9" w:rsidR="00F804F6" w:rsidRPr="006D2A16" w:rsidRDefault="004E5CB6" w:rsidP="00B02567">
            <w:pPr>
              <w:pStyle w:val="BodyText"/>
              <w:ind w:right="230"/>
              <w:rPr>
                <w:rFonts w:ascii="Arial" w:hAnsi="Arial" w:cs="Arial"/>
                <w:sz w:val="20"/>
                <w:szCs w:val="20"/>
                <w:lang w:val="fr-CA"/>
              </w:rPr>
            </w:pPr>
            <w:r w:rsidRPr="006D2A16">
              <w:rPr>
                <w:rFonts w:ascii="Arial" w:hAnsi="Arial" w:cs="Arial"/>
                <w:sz w:val="20"/>
                <w:szCs w:val="20"/>
                <w:lang w:val="fr-CA"/>
              </w:rPr>
              <w:t>Un intervenant fait remarquer que le Projet RLS s’est déroulé sur une très longue période et qu’à ce stade, on pourrait s’attendre à ce que les modifications de fond soient minimes et décrites dans la section de l’Avis de l’OCRCVM</w:t>
            </w:r>
            <w:r w:rsidR="00EE1F35" w:rsidRPr="006D2A16">
              <w:rPr>
                <w:rFonts w:ascii="Arial" w:hAnsi="Arial" w:cs="Arial"/>
                <w:sz w:val="20"/>
                <w:szCs w:val="20"/>
                <w:lang w:val="fr-CA"/>
              </w:rPr>
              <w:t> </w:t>
            </w:r>
            <w:r w:rsidRPr="006D2A16">
              <w:rPr>
                <w:rFonts w:ascii="Arial" w:hAnsi="Arial" w:cs="Arial"/>
                <w:sz w:val="20"/>
                <w:szCs w:val="20"/>
                <w:lang w:val="fr-CA"/>
              </w:rPr>
              <w:t>18-0014 (l’</w:t>
            </w:r>
            <w:r w:rsidRPr="006D2A16">
              <w:rPr>
                <w:rFonts w:ascii="Arial" w:hAnsi="Arial" w:cs="Arial"/>
                <w:b/>
                <w:sz w:val="20"/>
                <w:szCs w:val="20"/>
                <w:lang w:val="fr-CA"/>
              </w:rPr>
              <w:t>Avis</w:t>
            </w:r>
            <w:r w:rsidRPr="006D2A16">
              <w:rPr>
                <w:rFonts w:ascii="Arial" w:hAnsi="Arial" w:cs="Arial"/>
                <w:sz w:val="20"/>
                <w:szCs w:val="20"/>
                <w:lang w:val="fr-CA"/>
              </w:rPr>
              <w:t>) intitulée « Nature du projet de modification », de façon que les parties intéressées soient au fait des modifications proposées. Par exemple, les modifications touchant les comptes sans conseils n’ont pas été décrites dans cette section de l’Avis.</w:t>
            </w:r>
          </w:p>
          <w:p w14:paraId="5D8E6695" w14:textId="62490FB0" w:rsidR="0043737B" w:rsidRPr="006D2A16" w:rsidRDefault="0043737B" w:rsidP="009B6F17">
            <w:pPr>
              <w:tabs>
                <w:tab w:val="left" w:pos="1103"/>
              </w:tabs>
              <w:rPr>
                <w:lang w:val="fr-CA"/>
              </w:rPr>
            </w:pPr>
          </w:p>
        </w:tc>
        <w:tc>
          <w:tcPr>
            <w:tcW w:w="1704" w:type="pct"/>
            <w:tcBorders>
              <w:top w:val="nil"/>
              <w:bottom w:val="single" w:sz="4" w:space="0" w:color="auto"/>
            </w:tcBorders>
            <w:shd w:val="clear" w:color="auto" w:fill="auto"/>
          </w:tcPr>
          <w:p w14:paraId="2910FF1F" w14:textId="07446D8E" w:rsidR="0043737B" w:rsidRPr="006D2A16" w:rsidRDefault="004E5CB6" w:rsidP="00B02567">
            <w:pPr>
              <w:pStyle w:val="BodyText"/>
              <w:ind w:right="141"/>
              <w:rPr>
                <w:rFonts w:ascii="Arial" w:hAnsi="Arial" w:cs="Arial"/>
                <w:sz w:val="20"/>
                <w:szCs w:val="20"/>
                <w:lang w:val="fr-CA"/>
              </w:rPr>
            </w:pPr>
            <w:r w:rsidRPr="006D2A16">
              <w:rPr>
                <w:rFonts w:ascii="Arial" w:hAnsi="Arial" w:cs="Arial"/>
                <w:sz w:val="20"/>
                <w:szCs w:val="20"/>
                <w:lang w:val="fr-CA"/>
              </w:rPr>
              <w:t>Un résumé des principales modifications que nous avons apportées au Projet de modification figure à la section</w:t>
            </w:r>
            <w:r w:rsidR="00EE1F35" w:rsidRPr="006D2A16">
              <w:rPr>
                <w:rFonts w:ascii="Arial" w:hAnsi="Arial" w:cs="Arial"/>
                <w:sz w:val="20"/>
                <w:szCs w:val="20"/>
                <w:lang w:val="fr-CA"/>
              </w:rPr>
              <w:t> </w:t>
            </w:r>
            <w:r w:rsidRPr="006D2A16">
              <w:rPr>
                <w:rFonts w:ascii="Arial" w:hAnsi="Arial" w:cs="Arial"/>
                <w:sz w:val="20"/>
                <w:szCs w:val="20"/>
                <w:lang w:val="fr-CA"/>
              </w:rPr>
              <w:t>2.2 de l’Avis. Nous avons également fourni une liste complète des modifications proposées, avec leur description, à l’annexe</w:t>
            </w:r>
            <w:r w:rsidR="00EE1F35" w:rsidRPr="006D2A16">
              <w:rPr>
                <w:rFonts w:ascii="Arial" w:hAnsi="Arial" w:cs="Arial"/>
                <w:sz w:val="20"/>
                <w:szCs w:val="20"/>
                <w:lang w:val="fr-CA"/>
              </w:rPr>
              <w:t> </w:t>
            </w:r>
            <w:r w:rsidRPr="006D2A16">
              <w:rPr>
                <w:rFonts w:ascii="Arial" w:hAnsi="Arial" w:cs="Arial"/>
                <w:sz w:val="20"/>
                <w:szCs w:val="20"/>
                <w:lang w:val="fr-CA"/>
              </w:rPr>
              <w:t>1 de l’Avis.</w:t>
            </w:r>
          </w:p>
        </w:tc>
      </w:tr>
      <w:tr w:rsidR="00B02567" w:rsidRPr="006D2A16" w14:paraId="1B311B68" w14:textId="77777777" w:rsidTr="009B6F17">
        <w:trPr>
          <w:gridAfter w:val="1"/>
          <w:wAfter w:w="3" w:type="pct"/>
          <w:trHeight w:val="1052"/>
        </w:trPr>
        <w:tc>
          <w:tcPr>
            <w:tcW w:w="3293" w:type="pct"/>
            <w:shd w:val="clear" w:color="auto" w:fill="auto"/>
          </w:tcPr>
          <w:p w14:paraId="71F775A8" w14:textId="77777777" w:rsidR="00B02567" w:rsidRPr="006D2A16" w:rsidRDefault="00B02567" w:rsidP="00B02567">
            <w:pPr>
              <w:pStyle w:val="BodyText"/>
              <w:ind w:right="230"/>
              <w:rPr>
                <w:rFonts w:ascii="Arial" w:hAnsi="Arial" w:cs="Arial"/>
                <w:sz w:val="20"/>
                <w:szCs w:val="20"/>
                <w:lang w:val="fr-CA"/>
              </w:rPr>
            </w:pPr>
          </w:p>
        </w:tc>
        <w:tc>
          <w:tcPr>
            <w:tcW w:w="1704" w:type="pct"/>
            <w:tcBorders>
              <w:top w:val="nil"/>
              <w:bottom w:val="single" w:sz="4" w:space="0" w:color="auto"/>
            </w:tcBorders>
            <w:shd w:val="clear" w:color="auto" w:fill="auto"/>
          </w:tcPr>
          <w:p w14:paraId="3D69B427" w14:textId="5D926486" w:rsidR="00B02567" w:rsidRPr="006D2A16" w:rsidRDefault="004E5CB6" w:rsidP="00B02567">
            <w:pPr>
              <w:pStyle w:val="BodyText"/>
              <w:ind w:right="141"/>
              <w:rPr>
                <w:rFonts w:ascii="Arial" w:hAnsi="Arial" w:cs="Arial"/>
                <w:sz w:val="20"/>
                <w:szCs w:val="20"/>
                <w:lang w:val="fr-CA"/>
              </w:rPr>
            </w:pPr>
            <w:r w:rsidRPr="006D2A16">
              <w:rPr>
                <w:rFonts w:ascii="Arial" w:hAnsi="Arial" w:cs="Arial"/>
                <w:sz w:val="20"/>
                <w:szCs w:val="20"/>
                <w:lang w:val="fr-CA"/>
              </w:rPr>
              <w:t>La description des modifications touchant les comptes sans conseils figure à l’alinéa</w:t>
            </w:r>
            <w:r w:rsidR="00EE1F35" w:rsidRPr="006D2A16">
              <w:rPr>
                <w:rFonts w:ascii="Arial" w:hAnsi="Arial" w:cs="Arial"/>
                <w:sz w:val="20"/>
                <w:szCs w:val="20"/>
                <w:lang w:val="fr-CA"/>
              </w:rPr>
              <w:t> </w:t>
            </w:r>
            <w:r w:rsidRPr="006D2A16">
              <w:rPr>
                <w:rFonts w:ascii="Arial" w:hAnsi="Arial" w:cs="Arial"/>
                <w:sz w:val="20"/>
                <w:szCs w:val="20"/>
                <w:lang w:val="fr-CA"/>
              </w:rPr>
              <w:t>2.2(iv) et à l’annexe</w:t>
            </w:r>
            <w:r w:rsidR="00EE1F35" w:rsidRPr="006D2A16">
              <w:rPr>
                <w:rFonts w:ascii="Arial" w:hAnsi="Arial" w:cs="Arial"/>
                <w:sz w:val="20"/>
                <w:szCs w:val="20"/>
                <w:lang w:val="fr-CA"/>
              </w:rPr>
              <w:t> </w:t>
            </w:r>
            <w:r w:rsidRPr="006D2A16">
              <w:rPr>
                <w:rFonts w:ascii="Arial" w:hAnsi="Arial" w:cs="Arial"/>
                <w:sz w:val="20"/>
                <w:szCs w:val="20"/>
                <w:lang w:val="fr-CA"/>
              </w:rPr>
              <w:t>1 de l’Avis.</w:t>
            </w:r>
          </w:p>
        </w:tc>
      </w:tr>
      <w:tr w:rsidR="0043737B" w:rsidRPr="006D2A16" w14:paraId="1C4FBD52" w14:textId="77777777" w:rsidTr="006D2A16">
        <w:trPr>
          <w:gridAfter w:val="1"/>
          <w:wAfter w:w="3" w:type="pct"/>
        </w:trPr>
        <w:tc>
          <w:tcPr>
            <w:tcW w:w="3293" w:type="pct"/>
            <w:tcBorders>
              <w:bottom w:val="single" w:sz="4" w:space="0" w:color="auto"/>
            </w:tcBorders>
          </w:tcPr>
          <w:p w14:paraId="0C7DCF77" w14:textId="18835C4B" w:rsidR="0043737B" w:rsidRPr="006D2A16" w:rsidRDefault="007E719C" w:rsidP="00D73131">
            <w:pPr>
              <w:pStyle w:val="BodyText"/>
              <w:ind w:right="841"/>
              <w:rPr>
                <w:rFonts w:ascii="Arial" w:hAnsi="Arial" w:cs="Arial"/>
                <w:sz w:val="20"/>
                <w:szCs w:val="20"/>
                <w:lang w:val="fr-CA"/>
              </w:rPr>
            </w:pPr>
            <w:r w:rsidRPr="006D2A16">
              <w:rPr>
                <w:rFonts w:ascii="Arial" w:hAnsi="Arial" w:cs="Arial"/>
                <w:sz w:val="20"/>
                <w:szCs w:val="20"/>
                <w:lang w:val="fr-CA"/>
              </w:rPr>
              <w:t>Un intervenant constate que l’Avis ne précise pas combien de parties intéressées ont fourni des commentaires en réponse à l’Avis de l’OCRCVM</w:t>
            </w:r>
            <w:r w:rsidR="00EE1F35" w:rsidRPr="006D2A16">
              <w:rPr>
                <w:rFonts w:ascii="Arial" w:hAnsi="Arial" w:cs="Arial"/>
                <w:sz w:val="20"/>
                <w:szCs w:val="20"/>
                <w:lang w:val="fr-CA"/>
              </w:rPr>
              <w:t> </w:t>
            </w:r>
            <w:r w:rsidRPr="006D2A16">
              <w:rPr>
                <w:rFonts w:ascii="Arial" w:hAnsi="Arial" w:cs="Arial"/>
                <w:sz w:val="20"/>
                <w:szCs w:val="20"/>
                <w:lang w:val="fr-CA"/>
              </w:rPr>
              <w:t>17-0054.</w:t>
            </w:r>
          </w:p>
          <w:p w14:paraId="5C8D4877" w14:textId="24017F96" w:rsidR="0043737B" w:rsidRPr="006D2A16" w:rsidRDefault="0043737B" w:rsidP="00D73131">
            <w:pPr>
              <w:widowControl w:val="0"/>
              <w:tabs>
                <w:tab w:val="left" w:pos="666"/>
                <w:tab w:val="left" w:pos="667"/>
              </w:tabs>
              <w:autoSpaceDE w:val="0"/>
              <w:autoSpaceDN w:val="0"/>
              <w:spacing w:beforeLines="50" w:before="120" w:afterLines="50" w:after="120"/>
              <w:ind w:right="347"/>
              <w:rPr>
                <w:rFonts w:ascii="Arial" w:hAnsi="Arial" w:cs="Arial"/>
                <w:sz w:val="20"/>
                <w:szCs w:val="20"/>
                <w:lang w:val="fr-CA"/>
              </w:rPr>
            </w:pPr>
          </w:p>
        </w:tc>
        <w:tc>
          <w:tcPr>
            <w:tcW w:w="1704" w:type="pct"/>
            <w:tcBorders>
              <w:bottom w:val="single" w:sz="4" w:space="0" w:color="auto"/>
            </w:tcBorders>
          </w:tcPr>
          <w:p w14:paraId="342220C4" w14:textId="0895FEAD" w:rsidR="0043737B" w:rsidRPr="006D2A16" w:rsidRDefault="00B4663B" w:rsidP="009B6F17">
            <w:pPr>
              <w:pStyle w:val="BodyText"/>
              <w:ind w:right="184"/>
              <w:rPr>
                <w:rFonts w:ascii="Arial" w:hAnsi="Arial" w:cs="Arial"/>
                <w:sz w:val="20"/>
                <w:szCs w:val="20"/>
                <w:lang w:val="fr-CA"/>
              </w:rPr>
            </w:pPr>
            <w:r w:rsidRPr="006D2A16">
              <w:rPr>
                <w:rFonts w:ascii="Arial" w:hAnsi="Arial" w:cs="Arial"/>
                <w:sz w:val="20"/>
                <w:szCs w:val="20"/>
                <w:lang w:val="fr-CA"/>
              </w:rPr>
              <w:t>L’annexe</w:t>
            </w:r>
            <w:r w:rsidR="00EE1F35" w:rsidRPr="006D2A16">
              <w:rPr>
                <w:rFonts w:ascii="Arial" w:hAnsi="Arial" w:cs="Arial"/>
                <w:sz w:val="20"/>
                <w:szCs w:val="20"/>
                <w:lang w:val="fr-CA"/>
              </w:rPr>
              <w:t> </w:t>
            </w:r>
            <w:r w:rsidRPr="006D2A16">
              <w:rPr>
                <w:rFonts w:ascii="Arial" w:hAnsi="Arial" w:cs="Arial"/>
                <w:sz w:val="20"/>
                <w:szCs w:val="20"/>
                <w:lang w:val="fr-CA"/>
              </w:rPr>
              <w:t>4 de l’Avis contient la liste complète des parties intéressées qui ont fourni des commentaires en réponse à l’Avis</w:t>
            </w:r>
            <w:r w:rsidR="00EE1F35" w:rsidRPr="006D2A16">
              <w:rPr>
                <w:rFonts w:ascii="Arial" w:hAnsi="Arial" w:cs="Arial"/>
                <w:sz w:val="20"/>
                <w:szCs w:val="20"/>
                <w:lang w:val="fr-CA"/>
              </w:rPr>
              <w:t> </w:t>
            </w:r>
            <w:r w:rsidRPr="006D2A16">
              <w:rPr>
                <w:rFonts w:ascii="Arial" w:hAnsi="Arial" w:cs="Arial"/>
                <w:sz w:val="20"/>
                <w:szCs w:val="20"/>
                <w:lang w:val="fr-CA"/>
              </w:rPr>
              <w:t>17-0054.</w:t>
            </w:r>
          </w:p>
        </w:tc>
      </w:tr>
      <w:tr w:rsidR="0043737B" w:rsidRPr="006D2A16" w14:paraId="635944CE" w14:textId="77777777" w:rsidTr="006D2A16">
        <w:trPr>
          <w:gridAfter w:val="1"/>
          <w:wAfter w:w="3" w:type="pct"/>
        </w:trPr>
        <w:tc>
          <w:tcPr>
            <w:tcW w:w="3293" w:type="pct"/>
            <w:tcBorders>
              <w:bottom w:val="single" w:sz="4" w:space="0" w:color="auto"/>
            </w:tcBorders>
          </w:tcPr>
          <w:p w14:paraId="47B839C0" w14:textId="3D474BD7" w:rsidR="0043737B" w:rsidRPr="006D2A16" w:rsidRDefault="007E719C" w:rsidP="00D73131">
            <w:pPr>
              <w:pStyle w:val="BodyText"/>
              <w:ind w:right="127"/>
              <w:rPr>
                <w:rFonts w:ascii="Arial" w:hAnsi="Arial" w:cs="Arial"/>
                <w:sz w:val="20"/>
                <w:szCs w:val="20"/>
                <w:lang w:val="fr-CA"/>
              </w:rPr>
            </w:pPr>
            <w:r w:rsidRPr="006D2A16">
              <w:rPr>
                <w:rFonts w:ascii="Arial" w:hAnsi="Arial" w:cs="Arial"/>
                <w:sz w:val="20"/>
                <w:szCs w:val="20"/>
                <w:lang w:val="fr-CA"/>
              </w:rPr>
              <w:t>Un intervenant souligne que le Projet RLS ajoute de nouvelles exigences et apporte plusieurs modifications de fond aux Règles des courtiers membres existantes et recommande donc de prévoir une période transitoire convenable pour permettre au secteur de modifier les systèmes et processus en conséquence.</w:t>
            </w:r>
          </w:p>
          <w:p w14:paraId="483309F7" w14:textId="55A1B1B3" w:rsidR="0043737B" w:rsidRPr="006D2A16" w:rsidRDefault="0043737B" w:rsidP="00D73131">
            <w:pPr>
              <w:widowControl w:val="0"/>
              <w:tabs>
                <w:tab w:val="left" w:pos="666"/>
                <w:tab w:val="left" w:pos="667"/>
              </w:tabs>
              <w:autoSpaceDE w:val="0"/>
              <w:autoSpaceDN w:val="0"/>
              <w:spacing w:beforeLines="50" w:before="120" w:afterLines="50" w:after="120"/>
              <w:ind w:right="233"/>
              <w:rPr>
                <w:rFonts w:ascii="Arial" w:hAnsi="Arial" w:cs="Arial"/>
                <w:sz w:val="20"/>
                <w:szCs w:val="20"/>
                <w:lang w:val="fr-CA"/>
              </w:rPr>
            </w:pPr>
          </w:p>
        </w:tc>
        <w:tc>
          <w:tcPr>
            <w:tcW w:w="1704" w:type="pct"/>
            <w:tcBorders>
              <w:bottom w:val="single" w:sz="4" w:space="0" w:color="auto"/>
            </w:tcBorders>
          </w:tcPr>
          <w:p w14:paraId="0B0B2284" w14:textId="77777777" w:rsidR="007E719C" w:rsidRPr="006D2A16" w:rsidRDefault="007E719C" w:rsidP="00D73131">
            <w:pPr>
              <w:pStyle w:val="BodyText"/>
              <w:ind w:right="262"/>
              <w:rPr>
                <w:rFonts w:ascii="Arial" w:hAnsi="Arial" w:cs="Arial"/>
                <w:sz w:val="20"/>
                <w:szCs w:val="20"/>
                <w:lang w:val="fr-CA"/>
              </w:rPr>
            </w:pPr>
            <w:r w:rsidRPr="006D2A16">
              <w:rPr>
                <w:rFonts w:ascii="Arial" w:hAnsi="Arial" w:cs="Arial"/>
                <w:sz w:val="20"/>
                <w:szCs w:val="20"/>
                <w:lang w:val="fr-CA"/>
              </w:rPr>
              <w:t>Nous sommes d’accord avec ce commentaire.</w:t>
            </w:r>
          </w:p>
          <w:p w14:paraId="26FB4722" w14:textId="13D382B6" w:rsidR="007E719C" w:rsidRPr="006D2A16" w:rsidRDefault="007E719C" w:rsidP="00D73131">
            <w:pPr>
              <w:pStyle w:val="BodyText"/>
              <w:ind w:right="262"/>
              <w:rPr>
                <w:rFonts w:ascii="Arial" w:hAnsi="Arial" w:cs="Arial"/>
                <w:sz w:val="20"/>
                <w:szCs w:val="20"/>
                <w:lang w:val="fr-CA"/>
              </w:rPr>
            </w:pPr>
            <w:r w:rsidRPr="006D2A16">
              <w:rPr>
                <w:rFonts w:ascii="Arial" w:hAnsi="Arial" w:cs="Arial"/>
                <w:sz w:val="20"/>
                <w:szCs w:val="20"/>
                <w:lang w:val="fr-CA"/>
              </w:rPr>
              <w:t>À cette fin, dans la section</w:t>
            </w:r>
            <w:r w:rsidR="00EE1F35" w:rsidRPr="006D2A16">
              <w:rPr>
                <w:rFonts w:ascii="Arial" w:hAnsi="Arial" w:cs="Arial"/>
                <w:sz w:val="20"/>
                <w:szCs w:val="20"/>
                <w:lang w:val="fr-CA"/>
              </w:rPr>
              <w:t> </w:t>
            </w:r>
            <w:r w:rsidRPr="006D2A16">
              <w:rPr>
                <w:rFonts w:ascii="Arial" w:hAnsi="Arial" w:cs="Arial"/>
                <w:sz w:val="20"/>
                <w:szCs w:val="20"/>
                <w:lang w:val="fr-CA"/>
              </w:rPr>
              <w:t xml:space="preserve">1.2 de l’Avis, nous invitons les courtiers membres à nous aviser s’ils estiment que l’opérationnalisation de certaines exigences énoncées dans le projet de </w:t>
            </w:r>
            <w:r w:rsidR="009C3297" w:rsidRPr="006D2A16">
              <w:rPr>
                <w:rFonts w:ascii="Arial" w:hAnsi="Arial" w:cs="Arial"/>
                <w:sz w:val="20"/>
                <w:szCs w:val="20"/>
                <w:lang w:val="fr-CA"/>
              </w:rPr>
              <w:t xml:space="preserve">Manuel de réglementation </w:t>
            </w:r>
            <w:r w:rsidR="00EB1205" w:rsidRPr="006D2A16">
              <w:rPr>
                <w:rFonts w:ascii="Arial" w:hAnsi="Arial" w:cs="Arial"/>
                <w:sz w:val="20"/>
                <w:szCs w:val="20"/>
                <w:lang w:val="fr-CA"/>
              </w:rPr>
              <w:t>RLS</w:t>
            </w:r>
            <w:r w:rsidRPr="006D2A16">
              <w:rPr>
                <w:rFonts w:ascii="Arial" w:hAnsi="Arial" w:cs="Arial"/>
                <w:sz w:val="20"/>
                <w:szCs w:val="20"/>
                <w:lang w:val="fr-CA"/>
              </w:rPr>
              <w:t xml:space="preserve"> nécessitera plus de temps.</w:t>
            </w:r>
          </w:p>
          <w:p w14:paraId="564C54DF" w14:textId="77777777" w:rsidR="006D2A16" w:rsidRDefault="006D2A16" w:rsidP="00B4663B">
            <w:pPr>
              <w:pStyle w:val="BodyText"/>
              <w:ind w:right="262"/>
              <w:rPr>
                <w:rFonts w:ascii="Arial" w:hAnsi="Arial" w:cs="Arial"/>
                <w:sz w:val="20"/>
                <w:szCs w:val="20"/>
                <w:lang w:val="fr-CA"/>
              </w:rPr>
            </w:pPr>
          </w:p>
          <w:p w14:paraId="77B53AF9" w14:textId="59896AAE" w:rsidR="0043737B" w:rsidRPr="006D2A16" w:rsidRDefault="007E719C" w:rsidP="00B4663B">
            <w:pPr>
              <w:pStyle w:val="BodyText"/>
              <w:ind w:right="262"/>
              <w:rPr>
                <w:rFonts w:ascii="Arial" w:hAnsi="Arial" w:cs="Arial"/>
                <w:sz w:val="20"/>
                <w:szCs w:val="20"/>
                <w:lang w:val="fr-CA"/>
              </w:rPr>
            </w:pPr>
            <w:r w:rsidRPr="006D2A16">
              <w:rPr>
                <w:rFonts w:ascii="Arial" w:hAnsi="Arial" w:cs="Arial"/>
                <w:sz w:val="20"/>
                <w:szCs w:val="20"/>
                <w:lang w:val="fr-CA"/>
              </w:rPr>
              <w:t xml:space="preserve">Nous avons tenu compte de ces commentaires dans la (les) période(s) transitoire(s) fixée(s) </w:t>
            </w:r>
            <w:r w:rsidR="00F804F6" w:rsidRPr="006D2A16">
              <w:rPr>
                <w:rFonts w:ascii="Arial" w:hAnsi="Arial" w:cs="Arial"/>
                <w:sz w:val="20"/>
                <w:szCs w:val="20"/>
                <w:lang w:val="fr-CA"/>
              </w:rPr>
              <w:t>dans l’avis de mise en</w:t>
            </w:r>
            <w:r w:rsidR="006D2A16">
              <w:rPr>
                <w:rFonts w:ascii="Arial" w:hAnsi="Arial" w:cs="Arial"/>
                <w:sz w:val="20"/>
                <w:szCs w:val="20"/>
                <w:lang w:val="fr-CA"/>
              </w:rPr>
              <w:t> </w:t>
            </w:r>
            <w:r w:rsidR="00F804F6" w:rsidRPr="006D2A16">
              <w:rPr>
                <w:rFonts w:ascii="Arial" w:hAnsi="Arial" w:cs="Arial"/>
                <w:sz w:val="20"/>
                <w:szCs w:val="20"/>
                <w:lang w:val="fr-CA"/>
              </w:rPr>
              <w:t>œuvre.</w:t>
            </w:r>
          </w:p>
          <w:p w14:paraId="7840A726" w14:textId="09E9AD4B" w:rsidR="00B4663B" w:rsidRPr="006D2A16" w:rsidRDefault="00B4663B" w:rsidP="00B4663B">
            <w:pPr>
              <w:pStyle w:val="BodyText"/>
              <w:ind w:right="262"/>
              <w:rPr>
                <w:rFonts w:ascii="Arial" w:hAnsi="Arial" w:cs="Arial"/>
                <w:sz w:val="20"/>
                <w:szCs w:val="20"/>
                <w:lang w:val="fr-CA"/>
              </w:rPr>
            </w:pPr>
          </w:p>
        </w:tc>
      </w:tr>
      <w:tr w:rsidR="0043737B" w:rsidRPr="00F67CAF" w14:paraId="3446F0DC" w14:textId="77777777" w:rsidTr="006D2A16">
        <w:trPr>
          <w:trHeight w:val="422"/>
        </w:trPr>
        <w:tc>
          <w:tcPr>
            <w:tcW w:w="5000" w:type="pct"/>
            <w:gridSpan w:val="3"/>
            <w:tcBorders>
              <w:bottom w:val="single" w:sz="4" w:space="0" w:color="auto"/>
            </w:tcBorders>
            <w:shd w:val="clear" w:color="auto" w:fill="FBD4B4" w:themeFill="accent6" w:themeFillTint="66"/>
          </w:tcPr>
          <w:p w14:paraId="250B0EE3" w14:textId="6EC16992" w:rsidR="0043737B" w:rsidRPr="0043737B" w:rsidRDefault="00F804F6" w:rsidP="00F804F6">
            <w:pPr>
              <w:rPr>
                <w:rFonts w:ascii="Arial" w:hAnsi="Arial" w:cs="Arial"/>
                <w:b/>
                <w:sz w:val="20"/>
                <w:szCs w:val="20"/>
              </w:rPr>
            </w:pPr>
            <w:r>
              <w:rPr>
                <w:rFonts w:ascii="Arial" w:hAnsi="Arial" w:cs="Arial"/>
                <w:b/>
                <w:sz w:val="20"/>
                <w:szCs w:val="20"/>
              </w:rPr>
              <w:t>Série</w:t>
            </w:r>
            <w:r w:rsidR="00EE1F35">
              <w:rPr>
                <w:rFonts w:ascii="Arial" w:hAnsi="Arial" w:cs="Arial"/>
                <w:b/>
                <w:sz w:val="20"/>
                <w:szCs w:val="20"/>
              </w:rPr>
              <w:t> </w:t>
            </w:r>
            <w:r>
              <w:rPr>
                <w:rFonts w:ascii="Arial" w:hAnsi="Arial" w:cs="Arial"/>
                <w:b/>
                <w:sz w:val="20"/>
                <w:szCs w:val="20"/>
              </w:rPr>
              <w:t>2000</w:t>
            </w:r>
          </w:p>
        </w:tc>
      </w:tr>
      <w:tr w:rsidR="0043737B" w:rsidRPr="006D2A16" w14:paraId="04097BB1" w14:textId="77777777" w:rsidTr="006D2A16">
        <w:trPr>
          <w:trHeight w:val="458"/>
        </w:trPr>
        <w:tc>
          <w:tcPr>
            <w:tcW w:w="5000" w:type="pct"/>
            <w:gridSpan w:val="3"/>
            <w:tcBorders>
              <w:bottom w:val="single" w:sz="4" w:space="0" w:color="auto"/>
            </w:tcBorders>
            <w:shd w:val="clear" w:color="auto" w:fill="FDE9D9" w:themeFill="accent6" w:themeFillTint="33"/>
          </w:tcPr>
          <w:p w14:paraId="3A73CDD8" w14:textId="541B810B" w:rsidR="00B4663B" w:rsidRPr="006D2A16" w:rsidRDefault="00B4663B" w:rsidP="00D73131">
            <w:pPr>
              <w:pStyle w:val="BodyText"/>
              <w:tabs>
                <w:tab w:val="left" w:pos="11190"/>
                <w:tab w:val="right" w:pos="11742"/>
              </w:tabs>
              <w:rPr>
                <w:rFonts w:ascii="Arial" w:hAnsi="Arial" w:cs="Arial"/>
                <w:sz w:val="20"/>
                <w:szCs w:val="20"/>
                <w:lang w:val="fr-CA"/>
              </w:rPr>
            </w:pPr>
            <w:r w:rsidRPr="006D2A16">
              <w:rPr>
                <w:rFonts w:ascii="Arial" w:hAnsi="Arial" w:cs="Arial"/>
                <w:sz w:val="20"/>
                <w:szCs w:val="20"/>
                <w:u w:val="single"/>
                <w:lang w:val="fr-CA"/>
              </w:rPr>
              <w:t>Paragraphe</w:t>
            </w:r>
            <w:r w:rsidR="00EE1F35" w:rsidRPr="006D2A16">
              <w:rPr>
                <w:rFonts w:ascii="Arial" w:hAnsi="Arial" w:cs="Arial"/>
                <w:sz w:val="20"/>
                <w:szCs w:val="20"/>
                <w:u w:val="single"/>
                <w:lang w:val="fr-CA"/>
              </w:rPr>
              <w:t> </w:t>
            </w:r>
            <w:r w:rsidRPr="006D2A16">
              <w:rPr>
                <w:rFonts w:ascii="Arial" w:hAnsi="Arial" w:cs="Arial"/>
                <w:sz w:val="20"/>
                <w:szCs w:val="20"/>
                <w:u w:val="single"/>
                <w:lang w:val="fr-CA"/>
              </w:rPr>
              <w:t>2502(1)</w:t>
            </w:r>
            <w:r w:rsidR="00F804F6" w:rsidRPr="006D2A16">
              <w:rPr>
                <w:rFonts w:ascii="Arial" w:hAnsi="Arial" w:cs="Arial"/>
                <w:sz w:val="20"/>
                <w:szCs w:val="20"/>
                <w:lang w:val="fr-CA"/>
              </w:rPr>
              <w:t xml:space="preserve"> </w:t>
            </w:r>
            <w:r w:rsidRPr="006D2A16">
              <w:rPr>
                <w:rFonts w:ascii="Arial" w:hAnsi="Arial" w:cs="Arial"/>
                <w:sz w:val="20"/>
                <w:szCs w:val="20"/>
                <w:lang w:val="fr-CA"/>
              </w:rPr>
              <w:t>– Administrateurs et Membres de la haute direction des courtiers membres – Exigences générales visant les Administrateurs</w:t>
            </w:r>
          </w:p>
          <w:p w14:paraId="6A0CB1AF" w14:textId="0B6233B2" w:rsidR="0043737B" w:rsidRPr="006D2A16" w:rsidRDefault="0043737B" w:rsidP="00D73131">
            <w:pPr>
              <w:pStyle w:val="BodyText"/>
              <w:tabs>
                <w:tab w:val="left" w:pos="11190"/>
                <w:tab w:val="right" w:pos="11742"/>
              </w:tabs>
              <w:rPr>
                <w:rFonts w:ascii="Arial" w:hAnsi="Arial" w:cs="Arial"/>
                <w:sz w:val="20"/>
                <w:szCs w:val="20"/>
                <w:lang w:val="fr-CA"/>
              </w:rPr>
            </w:pPr>
          </w:p>
        </w:tc>
      </w:tr>
      <w:tr w:rsidR="0043737B" w:rsidRPr="006D2A16" w14:paraId="37196385" w14:textId="77777777" w:rsidTr="006D2A16">
        <w:trPr>
          <w:gridAfter w:val="1"/>
          <w:wAfter w:w="3" w:type="pct"/>
        </w:trPr>
        <w:tc>
          <w:tcPr>
            <w:tcW w:w="3293" w:type="pct"/>
            <w:tcBorders>
              <w:bottom w:val="single" w:sz="4" w:space="0" w:color="auto"/>
            </w:tcBorders>
          </w:tcPr>
          <w:p w14:paraId="676B4790" w14:textId="696DE7B2" w:rsidR="0043737B" w:rsidRPr="006D2A16" w:rsidRDefault="00B4663B" w:rsidP="00D73131">
            <w:pPr>
              <w:pStyle w:val="BodyText"/>
              <w:ind w:right="152"/>
              <w:rPr>
                <w:rFonts w:ascii="Arial" w:hAnsi="Arial" w:cs="Arial"/>
                <w:sz w:val="20"/>
                <w:szCs w:val="22"/>
                <w:lang w:val="fr-CA"/>
              </w:rPr>
            </w:pPr>
            <w:r w:rsidRPr="006D2A16">
              <w:rPr>
                <w:rFonts w:ascii="Arial" w:hAnsi="Arial" w:cs="Arial"/>
                <w:sz w:val="20"/>
                <w:szCs w:val="22"/>
                <w:lang w:val="fr-CA"/>
              </w:rPr>
              <w:t>Certains intervenants aimeraient savoir si cette nouvelle disposition vise à modifier la pratique actuelle qui permet de nommer un administrateur au conseil d’administration du courtier membre sous réserve de l’approbation des autorités de réglementation. Si la nomination de l’administrateur doit préalablement être approuvée par les autorités de réglementation, il faudra apporter des changements administratifs, ce qui rendra le processus moins efficace.</w:t>
            </w:r>
          </w:p>
          <w:p w14:paraId="3F72ED25" w14:textId="3AF06397" w:rsidR="0043737B" w:rsidRPr="006D2A16" w:rsidRDefault="0043737B" w:rsidP="00D73131">
            <w:pPr>
              <w:widowControl w:val="0"/>
              <w:tabs>
                <w:tab w:val="left" w:pos="666"/>
                <w:tab w:val="left" w:pos="667"/>
              </w:tabs>
              <w:autoSpaceDE w:val="0"/>
              <w:autoSpaceDN w:val="0"/>
              <w:spacing w:beforeLines="50" w:before="120" w:afterLines="50" w:after="120"/>
              <w:ind w:right="517"/>
              <w:rPr>
                <w:rFonts w:cstheme="minorHAnsi"/>
                <w:sz w:val="20"/>
                <w:szCs w:val="20"/>
                <w:lang w:val="fr-CA"/>
              </w:rPr>
            </w:pPr>
          </w:p>
        </w:tc>
        <w:tc>
          <w:tcPr>
            <w:tcW w:w="1704" w:type="pct"/>
            <w:tcBorders>
              <w:bottom w:val="single" w:sz="4" w:space="0" w:color="auto"/>
            </w:tcBorders>
          </w:tcPr>
          <w:p w14:paraId="66AC1B0D" w14:textId="7652019D" w:rsidR="0043737B" w:rsidRPr="006D2A16" w:rsidRDefault="00B4663B" w:rsidP="00D73131">
            <w:pPr>
              <w:pStyle w:val="BodyText"/>
              <w:ind w:right="174"/>
              <w:rPr>
                <w:rFonts w:ascii="Arial" w:hAnsi="Arial" w:cs="Arial"/>
                <w:sz w:val="20"/>
                <w:szCs w:val="20"/>
                <w:lang w:val="fr-CA"/>
              </w:rPr>
            </w:pPr>
            <w:r w:rsidRPr="006D2A16">
              <w:rPr>
                <w:rFonts w:ascii="Arial" w:hAnsi="Arial" w:cs="Arial"/>
                <w:sz w:val="20"/>
                <w:szCs w:val="20"/>
                <w:lang w:val="fr-CA"/>
              </w:rPr>
              <w:t>Cette disposition ne vise pas à modifier la pratique actuelle qui permet de nommer un administrateur au conseil d’administration. Elle a été ajoutée pour tenir compte de l’article</w:t>
            </w:r>
            <w:r w:rsidR="00EE1F35" w:rsidRPr="006D2A16">
              <w:rPr>
                <w:rFonts w:ascii="Arial" w:hAnsi="Arial" w:cs="Arial"/>
                <w:sz w:val="20"/>
                <w:szCs w:val="20"/>
                <w:lang w:val="fr-CA"/>
              </w:rPr>
              <w:t> </w:t>
            </w:r>
            <w:r w:rsidRPr="006D2A16">
              <w:rPr>
                <w:rFonts w:ascii="Arial" w:hAnsi="Arial" w:cs="Arial"/>
                <w:sz w:val="20"/>
                <w:szCs w:val="20"/>
                <w:lang w:val="fr-CA"/>
              </w:rPr>
              <w:t>2 de la Règle</w:t>
            </w:r>
            <w:r w:rsidR="00EE1F35" w:rsidRPr="006D2A16">
              <w:rPr>
                <w:rFonts w:ascii="Arial" w:hAnsi="Arial" w:cs="Arial"/>
                <w:sz w:val="20"/>
                <w:szCs w:val="20"/>
                <w:lang w:val="fr-CA"/>
              </w:rPr>
              <w:t> </w:t>
            </w:r>
            <w:r w:rsidRPr="006D2A16">
              <w:rPr>
                <w:rFonts w:ascii="Arial" w:hAnsi="Arial" w:cs="Arial"/>
                <w:sz w:val="20"/>
                <w:szCs w:val="20"/>
                <w:lang w:val="fr-CA"/>
              </w:rPr>
              <w:t xml:space="preserve">7 des courtiers membres, qui avait été involontairement omis dans la plus récente version du </w:t>
            </w:r>
            <w:r w:rsidR="009C3297" w:rsidRPr="006D2A16">
              <w:rPr>
                <w:rFonts w:ascii="Arial" w:hAnsi="Arial" w:cs="Arial"/>
                <w:sz w:val="20"/>
                <w:szCs w:val="20"/>
                <w:lang w:val="fr-CA"/>
              </w:rPr>
              <w:t xml:space="preserve">Manuel de réglementation </w:t>
            </w:r>
            <w:r w:rsidR="00EB1205" w:rsidRPr="006D2A16">
              <w:rPr>
                <w:rFonts w:ascii="Arial" w:hAnsi="Arial" w:cs="Arial"/>
                <w:sz w:val="20"/>
                <w:szCs w:val="20"/>
                <w:lang w:val="fr-CA"/>
              </w:rPr>
              <w:t>RLS</w:t>
            </w:r>
            <w:r w:rsidRPr="006D2A16">
              <w:rPr>
                <w:rFonts w:ascii="Arial" w:hAnsi="Arial" w:cs="Arial"/>
                <w:sz w:val="20"/>
                <w:szCs w:val="20"/>
                <w:lang w:val="fr-CA"/>
              </w:rPr>
              <w:t xml:space="preserve"> (Avis</w:t>
            </w:r>
            <w:r w:rsidR="00EE1F35" w:rsidRPr="006D2A16">
              <w:rPr>
                <w:rFonts w:ascii="Arial" w:hAnsi="Arial" w:cs="Arial"/>
                <w:sz w:val="20"/>
                <w:szCs w:val="20"/>
                <w:lang w:val="fr-CA"/>
              </w:rPr>
              <w:t> </w:t>
            </w:r>
            <w:r w:rsidRPr="006D2A16">
              <w:rPr>
                <w:rFonts w:ascii="Arial" w:hAnsi="Arial" w:cs="Arial"/>
                <w:sz w:val="20"/>
                <w:szCs w:val="20"/>
                <w:lang w:val="fr-CA"/>
              </w:rPr>
              <w:t>17-0054).</w:t>
            </w:r>
          </w:p>
          <w:p w14:paraId="2A667168" w14:textId="4B4BEDD8" w:rsidR="0043737B" w:rsidRPr="006D2A16" w:rsidRDefault="0043737B" w:rsidP="00D73131">
            <w:pPr>
              <w:spacing w:beforeLines="60" w:before="144" w:afterLines="60" w:after="144"/>
              <w:rPr>
                <w:rFonts w:ascii="Arial" w:hAnsi="Arial" w:cs="Arial"/>
                <w:sz w:val="20"/>
                <w:szCs w:val="20"/>
                <w:lang w:val="fr-CA"/>
              </w:rPr>
            </w:pPr>
          </w:p>
        </w:tc>
      </w:tr>
      <w:tr w:rsidR="0043737B" w:rsidRPr="006D2A16" w14:paraId="7595BD24" w14:textId="77777777" w:rsidTr="006D2A16">
        <w:trPr>
          <w:trHeight w:val="638"/>
        </w:trPr>
        <w:tc>
          <w:tcPr>
            <w:tcW w:w="5000" w:type="pct"/>
            <w:gridSpan w:val="3"/>
            <w:tcBorders>
              <w:bottom w:val="single" w:sz="4" w:space="0" w:color="auto"/>
            </w:tcBorders>
            <w:shd w:val="clear" w:color="auto" w:fill="FDE9D9" w:themeFill="accent6" w:themeFillTint="33"/>
          </w:tcPr>
          <w:p w14:paraId="3737DFE9" w14:textId="2BBDC1A4" w:rsidR="0043737B" w:rsidRPr="006D2A16" w:rsidRDefault="00B4663B" w:rsidP="00F804F6">
            <w:pPr>
              <w:pStyle w:val="BodyText"/>
              <w:ind w:right="264"/>
              <w:rPr>
                <w:rFonts w:ascii="Arial" w:hAnsi="Arial" w:cs="Arial"/>
                <w:sz w:val="20"/>
                <w:szCs w:val="20"/>
                <w:lang w:val="fr-CA"/>
              </w:rPr>
            </w:pPr>
            <w:r w:rsidRPr="006D2A16">
              <w:rPr>
                <w:rFonts w:ascii="Arial" w:hAnsi="Arial" w:cs="Arial"/>
                <w:sz w:val="20"/>
                <w:szCs w:val="20"/>
                <w:u w:val="single"/>
                <w:lang w:val="fr-CA"/>
              </w:rPr>
              <w:t>Alinéa</w:t>
            </w:r>
            <w:r w:rsidR="00EE1F35" w:rsidRPr="006D2A16">
              <w:rPr>
                <w:rFonts w:ascii="Arial" w:hAnsi="Arial" w:cs="Arial"/>
                <w:sz w:val="20"/>
                <w:szCs w:val="20"/>
                <w:u w:val="single"/>
                <w:lang w:val="fr-CA"/>
              </w:rPr>
              <w:t> </w:t>
            </w:r>
            <w:r w:rsidRPr="006D2A16">
              <w:rPr>
                <w:rFonts w:ascii="Arial" w:hAnsi="Arial" w:cs="Arial"/>
                <w:sz w:val="20"/>
                <w:szCs w:val="20"/>
                <w:u w:val="single"/>
                <w:lang w:val="fr-CA"/>
              </w:rPr>
              <w:t>2602(3)(xxvi)</w:t>
            </w:r>
            <w:r w:rsidR="00F804F6" w:rsidRPr="006D2A16">
              <w:rPr>
                <w:rFonts w:ascii="Arial" w:hAnsi="Arial" w:cs="Arial"/>
                <w:sz w:val="20"/>
                <w:szCs w:val="20"/>
                <w:lang w:val="fr-CA"/>
              </w:rPr>
              <w:t xml:space="preserve"> </w:t>
            </w:r>
            <w:r w:rsidRPr="006D2A16">
              <w:rPr>
                <w:rFonts w:ascii="Arial" w:hAnsi="Arial" w:cs="Arial"/>
                <w:sz w:val="20"/>
                <w:szCs w:val="20"/>
                <w:lang w:val="fr-CA"/>
              </w:rPr>
              <w:t>– Compétences requises de la part des Personnes autorisées et des investisseurs autorisés – Surveillant affecté à la surveillance des rapports de recherche</w:t>
            </w:r>
          </w:p>
        </w:tc>
      </w:tr>
      <w:tr w:rsidR="0043737B" w:rsidRPr="006D2A16" w14:paraId="42ACA1B6" w14:textId="77777777" w:rsidTr="006D2A16">
        <w:trPr>
          <w:gridAfter w:val="1"/>
          <w:wAfter w:w="3" w:type="pct"/>
          <w:trHeight w:val="638"/>
        </w:trPr>
        <w:tc>
          <w:tcPr>
            <w:tcW w:w="3293" w:type="pct"/>
            <w:tcBorders>
              <w:bottom w:val="single" w:sz="4" w:space="0" w:color="auto"/>
            </w:tcBorders>
          </w:tcPr>
          <w:p w14:paraId="1E5D088C" w14:textId="7A5057B2" w:rsidR="0043737B" w:rsidRPr="006D2A16" w:rsidRDefault="00B4663B" w:rsidP="00D73131">
            <w:pPr>
              <w:pStyle w:val="BodyText"/>
              <w:ind w:right="185"/>
              <w:rPr>
                <w:rFonts w:ascii="Arial" w:hAnsi="Arial" w:cs="Arial"/>
                <w:sz w:val="20"/>
                <w:lang w:val="fr-CA"/>
              </w:rPr>
            </w:pPr>
            <w:r w:rsidRPr="006D2A16">
              <w:rPr>
                <w:rFonts w:ascii="Arial" w:hAnsi="Arial" w:cs="Arial"/>
                <w:sz w:val="20"/>
                <w:lang w:val="fr-CA"/>
              </w:rPr>
              <w:t>Certains intervenants ne comprennent pas pourquoi le programme d’analyste financier agréé (</w:t>
            </w:r>
            <w:r w:rsidRPr="006D2A16">
              <w:rPr>
                <w:rFonts w:ascii="Arial" w:hAnsi="Arial" w:cs="Arial"/>
                <w:b/>
                <w:sz w:val="20"/>
                <w:lang w:val="fr-CA"/>
              </w:rPr>
              <w:t>CFA</w:t>
            </w:r>
            <w:r w:rsidRPr="006D2A16">
              <w:rPr>
                <w:rFonts w:ascii="Arial" w:hAnsi="Arial" w:cs="Arial"/>
                <w:sz w:val="20"/>
                <w:lang w:val="fr-CA"/>
              </w:rPr>
              <w:t>) ou le titre de CFA a été codifié comme principale compétence requise de la part des surveillants affectés à la surveillance des rapports de recherche, puisque ceux-ci ne participent pas à la préparation des rapports de recherche et n’exécutent pas de fonctions de modélisation financière. Ces intervenants estiment que les compétences requises proposées imposent un fardeau nettement plus lourd que celles qui sont requises de la part d’un analyste responsable aux États-Unis, et qu’elles pourraient désavantager les sociétés canadiennes sur le marché mondial pour ce qui est de recruter et de fidéliser des analystes responsables compétents.</w:t>
            </w:r>
          </w:p>
          <w:p w14:paraId="0C43A453" w14:textId="19383C67" w:rsidR="0043737B" w:rsidRPr="006D2A16" w:rsidRDefault="0043737B" w:rsidP="00D73131">
            <w:pPr>
              <w:widowControl w:val="0"/>
              <w:tabs>
                <w:tab w:val="left" w:pos="666"/>
                <w:tab w:val="left" w:pos="667"/>
              </w:tabs>
              <w:autoSpaceDE w:val="0"/>
              <w:autoSpaceDN w:val="0"/>
              <w:spacing w:beforeLines="50" w:before="120" w:afterLines="50" w:after="120"/>
              <w:rPr>
                <w:rFonts w:ascii="Arial" w:hAnsi="Arial" w:cs="Arial"/>
                <w:sz w:val="20"/>
                <w:szCs w:val="20"/>
                <w:lang w:val="fr-CA"/>
              </w:rPr>
            </w:pPr>
          </w:p>
        </w:tc>
        <w:tc>
          <w:tcPr>
            <w:tcW w:w="1704" w:type="pct"/>
            <w:vMerge w:val="restart"/>
          </w:tcPr>
          <w:p w14:paraId="7B0B9712" w14:textId="77777777" w:rsidR="00FF6FC1" w:rsidRPr="006D2A16" w:rsidRDefault="00FF6FC1" w:rsidP="00D73131">
            <w:pPr>
              <w:pStyle w:val="BodyText"/>
              <w:ind w:right="586"/>
              <w:rPr>
                <w:rFonts w:ascii="Arial" w:hAnsi="Arial" w:cs="Arial"/>
                <w:sz w:val="20"/>
                <w:lang w:val="fr-CA"/>
              </w:rPr>
            </w:pPr>
            <w:r w:rsidRPr="006D2A16">
              <w:rPr>
                <w:rFonts w:ascii="Arial" w:hAnsi="Arial" w:cs="Arial"/>
                <w:sz w:val="20"/>
                <w:lang w:val="fr-CA"/>
              </w:rPr>
              <w:t>Le titre de CFA est un titre de compétence qui cadre avec les lignes directrices actuelles sur l’inscription à titre de Surveillant affecté à la surveillance des rapports de recherche.</w:t>
            </w:r>
          </w:p>
          <w:p w14:paraId="6315888D" w14:textId="77777777" w:rsidR="00FF6FC1" w:rsidRPr="006D2A16" w:rsidRDefault="00FF6FC1" w:rsidP="00D73131">
            <w:pPr>
              <w:pStyle w:val="BodyText"/>
              <w:ind w:right="586"/>
              <w:rPr>
                <w:rFonts w:ascii="Arial" w:hAnsi="Arial" w:cs="Arial"/>
                <w:sz w:val="20"/>
                <w:lang w:val="fr-CA"/>
              </w:rPr>
            </w:pPr>
            <w:r w:rsidRPr="006D2A16">
              <w:rPr>
                <w:rFonts w:ascii="Arial" w:hAnsi="Arial" w:cs="Arial"/>
                <w:sz w:val="20"/>
                <w:lang w:val="fr-CA"/>
              </w:rPr>
              <w:t>À notre avis, le contenu du programme de CFA est pertinent pour les fonctions de ces surveillants.</w:t>
            </w:r>
          </w:p>
          <w:p w14:paraId="21221877" w14:textId="18507E9A" w:rsidR="0043737B" w:rsidRPr="006D2A16" w:rsidRDefault="0043737B" w:rsidP="00D73131">
            <w:pPr>
              <w:pStyle w:val="BodyText"/>
              <w:ind w:right="586"/>
              <w:rPr>
                <w:rFonts w:ascii="Arial" w:hAnsi="Arial" w:cs="Arial"/>
                <w:sz w:val="20"/>
                <w:lang w:val="fr-CA"/>
              </w:rPr>
            </w:pPr>
          </w:p>
          <w:p w14:paraId="1DAAF603" w14:textId="5B66FE57" w:rsidR="0043737B" w:rsidRPr="006D2A16" w:rsidRDefault="0043737B" w:rsidP="00D73131">
            <w:pPr>
              <w:spacing w:beforeLines="60" w:before="144" w:afterLines="60" w:after="144"/>
              <w:rPr>
                <w:rFonts w:ascii="Arial" w:hAnsi="Arial" w:cs="Arial"/>
                <w:sz w:val="20"/>
                <w:szCs w:val="20"/>
                <w:lang w:val="fr-CA"/>
              </w:rPr>
            </w:pPr>
          </w:p>
        </w:tc>
      </w:tr>
      <w:tr w:rsidR="0043737B" w:rsidRPr="006D2A16" w14:paraId="1CA23B15" w14:textId="77777777" w:rsidTr="006D2A16">
        <w:trPr>
          <w:gridAfter w:val="1"/>
          <w:wAfter w:w="3" w:type="pct"/>
        </w:trPr>
        <w:tc>
          <w:tcPr>
            <w:tcW w:w="3293" w:type="pct"/>
          </w:tcPr>
          <w:p w14:paraId="1767957A" w14:textId="76EDB148" w:rsidR="0043737B" w:rsidRPr="006D2A16" w:rsidRDefault="00B4663B" w:rsidP="00D73131">
            <w:pPr>
              <w:pStyle w:val="BodyText"/>
              <w:ind w:right="162"/>
              <w:rPr>
                <w:rFonts w:ascii="Arial" w:hAnsi="Arial" w:cs="Arial"/>
                <w:sz w:val="20"/>
                <w:lang w:val="fr-CA"/>
              </w:rPr>
            </w:pPr>
            <w:r w:rsidRPr="006D2A16">
              <w:rPr>
                <w:rFonts w:ascii="Arial" w:hAnsi="Arial" w:cs="Arial"/>
                <w:sz w:val="20"/>
                <w:lang w:val="fr-CA"/>
              </w:rPr>
              <w:t>Certains intervenants sont d’avis que les compétences requises proposées ne correspondent pas au rôle et aux responsabilités d’un analyste responsable, qui consistent principalement à veiller au respect du paragraphe</w:t>
            </w:r>
            <w:r w:rsidR="00EE1F35" w:rsidRPr="006D2A16">
              <w:rPr>
                <w:rFonts w:ascii="Arial" w:hAnsi="Arial" w:cs="Arial"/>
                <w:sz w:val="20"/>
                <w:lang w:val="fr-CA"/>
              </w:rPr>
              <w:t> </w:t>
            </w:r>
            <w:r w:rsidRPr="006D2A16">
              <w:rPr>
                <w:rFonts w:ascii="Arial" w:hAnsi="Arial" w:cs="Arial"/>
                <w:sz w:val="20"/>
                <w:lang w:val="fr-CA"/>
              </w:rPr>
              <w:t>7(1) de la Règle</w:t>
            </w:r>
            <w:r w:rsidR="00EE1F35" w:rsidRPr="006D2A16">
              <w:rPr>
                <w:rFonts w:ascii="Arial" w:hAnsi="Arial" w:cs="Arial"/>
                <w:sz w:val="20"/>
                <w:lang w:val="fr-CA"/>
              </w:rPr>
              <w:t> </w:t>
            </w:r>
            <w:r w:rsidRPr="006D2A16">
              <w:rPr>
                <w:rFonts w:ascii="Arial" w:hAnsi="Arial" w:cs="Arial"/>
                <w:sz w:val="20"/>
                <w:lang w:val="fr-CA"/>
              </w:rPr>
              <w:t>29 des courtiers membres et de la Règle</w:t>
            </w:r>
            <w:r w:rsidR="00EE1F35" w:rsidRPr="006D2A16">
              <w:rPr>
                <w:rFonts w:ascii="Arial" w:hAnsi="Arial" w:cs="Arial"/>
                <w:sz w:val="20"/>
                <w:lang w:val="fr-CA"/>
              </w:rPr>
              <w:t> </w:t>
            </w:r>
            <w:r w:rsidRPr="006D2A16">
              <w:rPr>
                <w:rFonts w:ascii="Arial" w:hAnsi="Arial" w:cs="Arial"/>
                <w:sz w:val="20"/>
                <w:lang w:val="fr-CA"/>
              </w:rPr>
              <w:t>3400 des courtiers membres.</w:t>
            </w:r>
          </w:p>
          <w:p w14:paraId="13EBA9C8" w14:textId="05FA193C" w:rsidR="0043737B" w:rsidRPr="006D2A16" w:rsidRDefault="0043737B" w:rsidP="00D73131">
            <w:pPr>
              <w:widowControl w:val="0"/>
              <w:tabs>
                <w:tab w:val="left" w:pos="666"/>
                <w:tab w:val="left" w:pos="667"/>
              </w:tabs>
              <w:autoSpaceDE w:val="0"/>
              <w:autoSpaceDN w:val="0"/>
              <w:spacing w:beforeLines="50" w:before="120" w:afterLines="50" w:after="120"/>
              <w:ind w:right="391"/>
              <w:rPr>
                <w:rFonts w:ascii="Arial" w:hAnsi="Arial" w:cs="Arial"/>
                <w:sz w:val="20"/>
                <w:szCs w:val="20"/>
                <w:lang w:val="fr-CA"/>
              </w:rPr>
            </w:pPr>
          </w:p>
        </w:tc>
        <w:tc>
          <w:tcPr>
            <w:tcW w:w="1704" w:type="pct"/>
            <w:vMerge/>
          </w:tcPr>
          <w:p w14:paraId="0922F1C8" w14:textId="42104A2B" w:rsidR="0043737B" w:rsidRPr="006D2A16" w:rsidRDefault="0043737B" w:rsidP="00D73131">
            <w:pPr>
              <w:spacing w:beforeLines="60" w:before="144" w:afterLines="60" w:after="144"/>
              <w:rPr>
                <w:rFonts w:ascii="Arial" w:hAnsi="Arial" w:cs="Arial"/>
                <w:sz w:val="20"/>
                <w:szCs w:val="20"/>
                <w:lang w:val="fr-CA"/>
              </w:rPr>
            </w:pPr>
          </w:p>
        </w:tc>
      </w:tr>
      <w:tr w:rsidR="0043737B" w:rsidRPr="006D2A16" w14:paraId="4E213C80" w14:textId="77777777" w:rsidTr="006D2A16">
        <w:trPr>
          <w:gridAfter w:val="1"/>
          <w:wAfter w:w="3" w:type="pct"/>
        </w:trPr>
        <w:tc>
          <w:tcPr>
            <w:tcW w:w="3293" w:type="pct"/>
          </w:tcPr>
          <w:p w14:paraId="64924160" w14:textId="2107EEFC" w:rsidR="0043737B" w:rsidRPr="006D2A16" w:rsidRDefault="00B4663B" w:rsidP="00D73131">
            <w:pPr>
              <w:pStyle w:val="BodyText"/>
              <w:ind w:right="275"/>
              <w:rPr>
                <w:rFonts w:ascii="Arial" w:hAnsi="Arial" w:cs="Arial"/>
                <w:sz w:val="20"/>
                <w:szCs w:val="20"/>
                <w:lang w:val="fr-CA"/>
              </w:rPr>
            </w:pPr>
            <w:r w:rsidRPr="006D2A16">
              <w:rPr>
                <w:rFonts w:ascii="Arial" w:hAnsi="Arial" w:cs="Arial"/>
                <w:sz w:val="20"/>
                <w:szCs w:val="20"/>
                <w:lang w:val="fr-CA"/>
              </w:rPr>
              <w:t>Les intervenants soulignent qu’aucune autre fonction de surveillance décrite au paragraphe</w:t>
            </w:r>
            <w:r w:rsidR="00EE1F35" w:rsidRPr="006D2A16">
              <w:rPr>
                <w:rFonts w:ascii="Arial" w:hAnsi="Arial" w:cs="Arial"/>
                <w:sz w:val="20"/>
                <w:szCs w:val="20"/>
                <w:lang w:val="fr-CA"/>
              </w:rPr>
              <w:t> </w:t>
            </w:r>
            <w:r w:rsidRPr="006D2A16">
              <w:rPr>
                <w:rFonts w:ascii="Arial" w:hAnsi="Arial" w:cs="Arial"/>
                <w:sz w:val="20"/>
                <w:szCs w:val="20"/>
                <w:lang w:val="fr-CA"/>
              </w:rPr>
              <w:t>2603(3) n’exige les trois niveaux du programme de CFA.</w:t>
            </w:r>
          </w:p>
          <w:p w14:paraId="56E66E18" w14:textId="77777777" w:rsidR="0043737B" w:rsidRPr="006D2A16" w:rsidRDefault="0043737B" w:rsidP="00D73131">
            <w:pPr>
              <w:widowControl w:val="0"/>
              <w:tabs>
                <w:tab w:val="left" w:pos="666"/>
                <w:tab w:val="left" w:pos="667"/>
              </w:tabs>
              <w:autoSpaceDE w:val="0"/>
              <w:autoSpaceDN w:val="0"/>
              <w:spacing w:beforeLines="50" w:before="120" w:afterLines="50" w:after="120"/>
              <w:ind w:right="391"/>
              <w:rPr>
                <w:rFonts w:ascii="Arial" w:hAnsi="Arial" w:cs="Arial"/>
                <w:sz w:val="20"/>
                <w:szCs w:val="20"/>
                <w:lang w:val="fr-CA"/>
              </w:rPr>
            </w:pPr>
          </w:p>
        </w:tc>
        <w:tc>
          <w:tcPr>
            <w:tcW w:w="1704" w:type="pct"/>
          </w:tcPr>
          <w:p w14:paraId="46A77DBF" w14:textId="59F8C1E5" w:rsidR="0043737B" w:rsidRPr="006D2A16" w:rsidRDefault="00FF6FC1" w:rsidP="00D73131">
            <w:pPr>
              <w:pStyle w:val="BodyText"/>
              <w:ind w:right="129"/>
              <w:rPr>
                <w:rFonts w:ascii="Arial" w:hAnsi="Arial" w:cs="Arial"/>
                <w:sz w:val="20"/>
                <w:szCs w:val="20"/>
                <w:lang w:val="fr-CA"/>
              </w:rPr>
            </w:pPr>
            <w:r w:rsidRPr="006D2A16">
              <w:rPr>
                <w:rFonts w:ascii="Arial" w:hAnsi="Arial" w:cs="Arial"/>
                <w:spacing w:val="1"/>
                <w:sz w:val="20"/>
                <w:szCs w:val="20"/>
                <w:lang w:val="fr-CA"/>
              </w:rPr>
              <w:lastRenderedPageBreak/>
              <w:t xml:space="preserve">Nous prescrivons les compétences nécessaires pour la fonction particulière de chaque catégorie de surveillant. </w:t>
            </w:r>
            <w:r w:rsidRPr="006D2A16">
              <w:rPr>
                <w:rFonts w:ascii="Arial" w:hAnsi="Arial" w:cs="Arial"/>
                <w:spacing w:val="1"/>
                <w:sz w:val="20"/>
                <w:szCs w:val="20"/>
                <w:lang w:val="fr-CA"/>
              </w:rPr>
              <w:lastRenderedPageBreak/>
              <w:t>Le titre de CFA fait également partie des compétences requises de la part du surveillant désigné responsable de la surveillance des comptes gérés.</w:t>
            </w:r>
          </w:p>
          <w:p w14:paraId="067A96FE" w14:textId="77777777" w:rsidR="0043737B" w:rsidRDefault="0043737B" w:rsidP="00D73131">
            <w:pPr>
              <w:spacing w:beforeLines="60" w:before="144" w:afterLines="60" w:after="144"/>
              <w:rPr>
                <w:rFonts w:ascii="Arial" w:hAnsi="Arial" w:cs="Arial"/>
                <w:sz w:val="20"/>
                <w:szCs w:val="20"/>
                <w:lang w:val="fr-CA"/>
              </w:rPr>
            </w:pPr>
          </w:p>
          <w:p w14:paraId="611A6F00" w14:textId="11806A4C" w:rsidR="009B6F17" w:rsidRPr="006D2A16" w:rsidRDefault="009B6F17" w:rsidP="00D73131">
            <w:pPr>
              <w:spacing w:beforeLines="60" w:before="144" w:afterLines="60" w:after="144"/>
              <w:rPr>
                <w:rFonts w:ascii="Arial" w:hAnsi="Arial" w:cs="Arial"/>
                <w:sz w:val="20"/>
                <w:szCs w:val="20"/>
                <w:lang w:val="fr-CA"/>
              </w:rPr>
            </w:pPr>
          </w:p>
        </w:tc>
      </w:tr>
      <w:tr w:rsidR="0043737B" w:rsidRPr="006D2A16" w14:paraId="52E6138B" w14:textId="77777777" w:rsidTr="006D2A16">
        <w:trPr>
          <w:gridAfter w:val="1"/>
          <w:wAfter w:w="3" w:type="pct"/>
        </w:trPr>
        <w:tc>
          <w:tcPr>
            <w:tcW w:w="3293" w:type="pct"/>
          </w:tcPr>
          <w:p w14:paraId="1C5E5A28" w14:textId="1B450EF4" w:rsidR="0043737B" w:rsidRPr="006D2A16" w:rsidRDefault="00B4663B" w:rsidP="00D73131">
            <w:pPr>
              <w:pStyle w:val="BodyText"/>
              <w:ind w:right="341"/>
              <w:rPr>
                <w:rFonts w:ascii="Arial" w:hAnsi="Arial" w:cs="Arial"/>
                <w:sz w:val="20"/>
                <w:szCs w:val="20"/>
                <w:lang w:val="fr-CA"/>
              </w:rPr>
            </w:pPr>
            <w:r w:rsidRPr="006D2A16">
              <w:rPr>
                <w:rFonts w:ascii="Arial" w:hAnsi="Arial" w:cs="Arial"/>
                <w:sz w:val="20"/>
                <w:szCs w:val="20"/>
                <w:lang w:val="fr-CA"/>
              </w:rPr>
              <w:lastRenderedPageBreak/>
              <w:t>Certains intervenants se demandent quelles « autre[s] compétence[s] indiquée[s] » le conseil de section jugerait acceptables. Ils demandent à l’OCRCVM de fournir des exemples précis de telles compétences pour éviter que cela ne crée de l’incertitude et de l’inefficacité dans le processus d’embauche et le processus opérationnel des courtiers membres.</w:t>
            </w:r>
          </w:p>
          <w:p w14:paraId="6DBEAA36" w14:textId="77777777" w:rsidR="0043737B" w:rsidRPr="006D2A16" w:rsidRDefault="0043737B" w:rsidP="00D73131">
            <w:pPr>
              <w:widowControl w:val="0"/>
              <w:tabs>
                <w:tab w:val="left" w:pos="666"/>
                <w:tab w:val="left" w:pos="667"/>
              </w:tabs>
              <w:autoSpaceDE w:val="0"/>
              <w:autoSpaceDN w:val="0"/>
              <w:spacing w:beforeLines="50" w:before="120" w:afterLines="50" w:after="120"/>
              <w:ind w:right="391"/>
              <w:rPr>
                <w:rFonts w:ascii="Arial" w:hAnsi="Arial" w:cs="Arial"/>
                <w:sz w:val="20"/>
                <w:szCs w:val="20"/>
                <w:lang w:val="fr-CA"/>
              </w:rPr>
            </w:pPr>
          </w:p>
        </w:tc>
        <w:tc>
          <w:tcPr>
            <w:tcW w:w="1704" w:type="pct"/>
          </w:tcPr>
          <w:p w14:paraId="7438CBDD" w14:textId="77777777" w:rsidR="0043737B" w:rsidRDefault="00FF6FC1" w:rsidP="009B6F17">
            <w:pPr>
              <w:pStyle w:val="BodyText"/>
              <w:ind w:right="138"/>
              <w:rPr>
                <w:rFonts w:ascii="Arial" w:hAnsi="Arial" w:cs="Arial"/>
                <w:sz w:val="20"/>
                <w:szCs w:val="20"/>
                <w:lang w:val="fr-CA"/>
              </w:rPr>
            </w:pPr>
            <w:r w:rsidRPr="006D2A16">
              <w:rPr>
                <w:rFonts w:ascii="Arial" w:hAnsi="Arial" w:cs="Arial"/>
                <w:sz w:val="20"/>
                <w:szCs w:val="20"/>
                <w:lang w:val="fr-CA"/>
              </w:rPr>
              <w:t>Nous appuierons les demandes d’autorisation adressées au conseil de section par des personnes physiques ayant par exemple réussi le Cours relatif au Manuel sur les normes de conduite (</w:t>
            </w:r>
            <w:r w:rsidRPr="006D2A16">
              <w:rPr>
                <w:rFonts w:ascii="Arial" w:hAnsi="Arial" w:cs="Arial"/>
                <w:b/>
                <w:sz w:val="20"/>
                <w:szCs w:val="20"/>
                <w:lang w:val="fr-CA"/>
              </w:rPr>
              <w:t>MNC</w:t>
            </w:r>
            <w:r w:rsidRPr="006D2A16">
              <w:rPr>
                <w:rFonts w:ascii="Arial" w:hAnsi="Arial" w:cs="Arial"/>
                <w:sz w:val="20"/>
                <w:szCs w:val="20"/>
                <w:lang w:val="fr-CA"/>
              </w:rPr>
              <w:t>) et le cours Series</w:t>
            </w:r>
            <w:r w:rsidR="00EE1F35" w:rsidRPr="006D2A16">
              <w:rPr>
                <w:rFonts w:ascii="Arial" w:hAnsi="Arial" w:cs="Arial"/>
                <w:sz w:val="20"/>
                <w:szCs w:val="20"/>
                <w:lang w:val="fr-CA"/>
              </w:rPr>
              <w:t> </w:t>
            </w:r>
            <w:r w:rsidRPr="006D2A16">
              <w:rPr>
                <w:rFonts w:ascii="Arial" w:hAnsi="Arial" w:cs="Arial"/>
                <w:sz w:val="20"/>
                <w:szCs w:val="20"/>
                <w:lang w:val="fr-CA"/>
              </w:rPr>
              <w:t>16 de la FINRA, à condition qu’elles aient été inscrites auprès de la FINRA dans des fonctions analogues dans les trois ans précédant leur demande d’autorisation, ou qu’elles aient réussi le Cours relatif au MNC et le Cours à l’intention des associés, administrateurs et dirigeants (AAD). Le conseil de section étudie toutes les demandes au cas par cas.</w:t>
            </w:r>
          </w:p>
          <w:p w14:paraId="4694BB66" w14:textId="1B49AB2E" w:rsidR="009B6F17" w:rsidRPr="006D2A16" w:rsidRDefault="009B6F17" w:rsidP="009B6F17">
            <w:pPr>
              <w:pStyle w:val="BodyText"/>
              <w:ind w:right="138"/>
              <w:rPr>
                <w:rFonts w:ascii="Arial" w:hAnsi="Arial" w:cs="Arial"/>
                <w:sz w:val="20"/>
                <w:szCs w:val="20"/>
                <w:lang w:val="fr-CA"/>
              </w:rPr>
            </w:pPr>
          </w:p>
        </w:tc>
      </w:tr>
      <w:tr w:rsidR="0043737B" w:rsidRPr="006D2A16" w14:paraId="1FBB1E20" w14:textId="77777777" w:rsidTr="006D2A16">
        <w:trPr>
          <w:gridAfter w:val="1"/>
          <w:wAfter w:w="3" w:type="pct"/>
        </w:trPr>
        <w:tc>
          <w:tcPr>
            <w:tcW w:w="3293" w:type="pct"/>
          </w:tcPr>
          <w:p w14:paraId="41294E9F" w14:textId="75097FB1" w:rsidR="0043737B" w:rsidRPr="006D2A16" w:rsidRDefault="00B4663B" w:rsidP="00D73131">
            <w:pPr>
              <w:pStyle w:val="BodyText"/>
              <w:ind w:right="108"/>
              <w:rPr>
                <w:rFonts w:ascii="Arial" w:hAnsi="Arial" w:cs="Arial"/>
                <w:sz w:val="20"/>
                <w:szCs w:val="20"/>
                <w:lang w:val="fr-CA"/>
              </w:rPr>
            </w:pPr>
            <w:r w:rsidRPr="006D2A16">
              <w:rPr>
                <w:rFonts w:ascii="Arial" w:hAnsi="Arial" w:cs="Arial"/>
                <w:sz w:val="20"/>
                <w:szCs w:val="20"/>
                <w:lang w:val="fr-CA"/>
              </w:rPr>
              <w:t>Deux intervenants demandent à l’OCRCVM de confirmer qu’un analyste responsable, inscrit et employé au moment où les nouvelles compétences requises prendront effet, bénéficiera de droits acquis selon le nouveau régime et que son statut sera protégé même s’il part travailler pour un autre courtier membre.</w:t>
            </w:r>
          </w:p>
          <w:p w14:paraId="517E2E51" w14:textId="77777777" w:rsidR="0043737B" w:rsidRPr="006D2A16" w:rsidRDefault="0043737B" w:rsidP="00D73131">
            <w:pPr>
              <w:pStyle w:val="BodyText"/>
              <w:ind w:left="107" w:right="341"/>
              <w:rPr>
                <w:rFonts w:ascii="Arial" w:hAnsi="Arial" w:cs="Arial"/>
                <w:sz w:val="20"/>
                <w:szCs w:val="20"/>
                <w:lang w:val="fr-CA"/>
              </w:rPr>
            </w:pPr>
          </w:p>
        </w:tc>
        <w:tc>
          <w:tcPr>
            <w:tcW w:w="1704" w:type="pct"/>
          </w:tcPr>
          <w:p w14:paraId="59EE9E81" w14:textId="33FBE987" w:rsidR="00FF6FC1" w:rsidRPr="006D2A16" w:rsidRDefault="00FF6FC1" w:rsidP="00D73131">
            <w:pPr>
              <w:pStyle w:val="BodyText"/>
              <w:ind w:right="174"/>
              <w:rPr>
                <w:rFonts w:ascii="Arial" w:hAnsi="Arial" w:cs="Arial"/>
                <w:sz w:val="20"/>
                <w:szCs w:val="20"/>
                <w:lang w:val="fr-CA"/>
              </w:rPr>
            </w:pPr>
            <w:r w:rsidRPr="006D2A16">
              <w:rPr>
                <w:rFonts w:ascii="Arial" w:hAnsi="Arial" w:cs="Arial"/>
                <w:sz w:val="20"/>
                <w:szCs w:val="20"/>
                <w:lang w:val="fr-CA"/>
              </w:rPr>
              <w:t xml:space="preserve">Conformément au </w:t>
            </w:r>
            <w:r w:rsidR="00F804F6" w:rsidRPr="006D2A16">
              <w:rPr>
                <w:rFonts w:ascii="Arial" w:hAnsi="Arial" w:cs="Arial"/>
                <w:sz w:val="20"/>
                <w:szCs w:val="20"/>
                <w:lang w:val="fr-CA"/>
              </w:rPr>
              <w:t>paragraphe</w:t>
            </w:r>
            <w:r w:rsidR="00EE1F35" w:rsidRPr="006D2A16">
              <w:rPr>
                <w:rFonts w:ascii="Arial" w:hAnsi="Arial" w:cs="Arial"/>
                <w:sz w:val="20"/>
                <w:szCs w:val="20"/>
                <w:lang w:val="fr-CA"/>
              </w:rPr>
              <w:t> </w:t>
            </w:r>
            <w:r w:rsidR="00F804F6" w:rsidRPr="006D2A16">
              <w:rPr>
                <w:rFonts w:ascii="Arial" w:hAnsi="Arial" w:cs="Arial"/>
                <w:sz w:val="20"/>
                <w:szCs w:val="20"/>
                <w:lang w:val="fr-CA"/>
              </w:rPr>
              <w:t>2603(2)</w:t>
            </w:r>
            <w:r w:rsidRPr="006D2A16">
              <w:rPr>
                <w:rFonts w:ascii="Arial" w:hAnsi="Arial" w:cs="Arial"/>
                <w:sz w:val="20"/>
                <w:szCs w:val="20"/>
                <w:lang w:val="fr-CA"/>
              </w:rPr>
              <w:t xml:space="preserve">, une personne physique inscrite comme Surveillant affecté à la surveillance des rapports de recherche à la date d’entrée en vigueur du </w:t>
            </w:r>
            <w:r w:rsidR="009C3297" w:rsidRPr="006D2A16">
              <w:rPr>
                <w:rFonts w:ascii="Arial" w:hAnsi="Arial" w:cs="Arial"/>
                <w:sz w:val="20"/>
                <w:szCs w:val="20"/>
                <w:lang w:val="fr-CA"/>
              </w:rPr>
              <w:t xml:space="preserve">Manuel de réglementation </w:t>
            </w:r>
            <w:r w:rsidR="00EB1205" w:rsidRPr="006D2A16">
              <w:rPr>
                <w:rFonts w:ascii="Arial" w:hAnsi="Arial" w:cs="Arial"/>
                <w:sz w:val="20"/>
                <w:szCs w:val="20"/>
                <w:lang w:val="fr-CA"/>
              </w:rPr>
              <w:t>RLS</w:t>
            </w:r>
            <w:r w:rsidR="009C3297" w:rsidRPr="006D2A16">
              <w:rPr>
                <w:rFonts w:ascii="Arial" w:hAnsi="Arial" w:cs="Arial"/>
                <w:sz w:val="20"/>
                <w:szCs w:val="20"/>
                <w:lang w:val="fr-CA"/>
              </w:rPr>
              <w:t xml:space="preserve"> </w:t>
            </w:r>
            <w:r w:rsidRPr="006D2A16">
              <w:rPr>
                <w:rFonts w:ascii="Arial" w:hAnsi="Arial" w:cs="Arial"/>
                <w:sz w:val="20"/>
                <w:szCs w:val="20"/>
                <w:lang w:val="fr-CA"/>
              </w:rPr>
              <w:t>ne sera pas tenue de posséder de nouvelles compétences pour être autorisée dans cette catégorie.</w:t>
            </w:r>
          </w:p>
          <w:p w14:paraId="0872EB39" w14:textId="77777777" w:rsidR="00FF6FC1" w:rsidRPr="006D2A16" w:rsidRDefault="00FF6FC1" w:rsidP="00D73131">
            <w:pPr>
              <w:pStyle w:val="BodyText"/>
              <w:ind w:right="174"/>
              <w:rPr>
                <w:rFonts w:ascii="Arial" w:hAnsi="Arial" w:cs="Arial"/>
                <w:sz w:val="20"/>
                <w:szCs w:val="20"/>
                <w:lang w:val="fr-CA"/>
              </w:rPr>
            </w:pPr>
            <w:r w:rsidRPr="006D2A16">
              <w:rPr>
                <w:rFonts w:ascii="Arial" w:hAnsi="Arial" w:cs="Arial"/>
                <w:sz w:val="20"/>
                <w:szCs w:val="20"/>
                <w:lang w:val="fr-CA"/>
              </w:rPr>
              <w:t>Une personne physique qui part travailler pour un autre courtier membre n’est pas tenue de posséder de nouvelles compétences si elle est admissible au rétablissement de son inscription et si le changement d’emploi a lieu dans les 90 jours.</w:t>
            </w:r>
          </w:p>
          <w:p w14:paraId="70C3B9C8" w14:textId="3ECCFBF6" w:rsidR="002B2660" w:rsidRPr="006D2A16" w:rsidRDefault="002B2660" w:rsidP="009B6F17">
            <w:pPr>
              <w:pStyle w:val="BodyText"/>
              <w:ind w:right="138"/>
              <w:rPr>
                <w:rFonts w:ascii="Arial" w:hAnsi="Arial" w:cs="Arial"/>
                <w:sz w:val="20"/>
                <w:szCs w:val="20"/>
                <w:lang w:val="fr-CA"/>
              </w:rPr>
            </w:pPr>
          </w:p>
        </w:tc>
      </w:tr>
      <w:tr w:rsidR="0043737B" w:rsidRPr="00F67CAF" w14:paraId="33C5E445" w14:textId="77777777" w:rsidTr="006D2A16">
        <w:trPr>
          <w:gridAfter w:val="1"/>
          <w:wAfter w:w="3" w:type="pct"/>
        </w:trPr>
        <w:tc>
          <w:tcPr>
            <w:tcW w:w="3293" w:type="pct"/>
          </w:tcPr>
          <w:p w14:paraId="324538A0" w14:textId="68FDCC72" w:rsidR="0043737B" w:rsidRPr="006D2A16" w:rsidRDefault="00B4663B" w:rsidP="00D73131">
            <w:pPr>
              <w:pStyle w:val="BodyText"/>
              <w:ind w:right="175"/>
              <w:rPr>
                <w:rFonts w:ascii="Arial" w:hAnsi="Arial" w:cs="Arial"/>
                <w:sz w:val="20"/>
                <w:szCs w:val="20"/>
                <w:lang w:val="fr-CA"/>
              </w:rPr>
            </w:pPr>
            <w:r w:rsidRPr="006D2A16">
              <w:rPr>
                <w:rFonts w:ascii="Arial" w:hAnsi="Arial" w:cs="Arial"/>
                <w:sz w:val="20"/>
                <w:szCs w:val="20"/>
                <w:lang w:val="fr-CA"/>
              </w:rPr>
              <w:t>Les intervenants recommandent de réexaminer la possibilité d’accepter les cours Series</w:t>
            </w:r>
            <w:r w:rsidR="00EE1F35" w:rsidRPr="006D2A16">
              <w:rPr>
                <w:rFonts w:ascii="Arial" w:hAnsi="Arial" w:cs="Arial"/>
                <w:sz w:val="20"/>
                <w:szCs w:val="20"/>
                <w:lang w:val="fr-CA"/>
              </w:rPr>
              <w:t> </w:t>
            </w:r>
            <w:r w:rsidRPr="006D2A16">
              <w:rPr>
                <w:rFonts w:ascii="Arial" w:hAnsi="Arial" w:cs="Arial"/>
                <w:sz w:val="20"/>
                <w:szCs w:val="20"/>
                <w:lang w:val="fr-CA"/>
              </w:rPr>
              <w:t>16 et Series</w:t>
            </w:r>
            <w:r w:rsidR="00EE1F35" w:rsidRPr="006D2A16">
              <w:rPr>
                <w:rFonts w:ascii="Arial" w:hAnsi="Arial" w:cs="Arial"/>
                <w:sz w:val="20"/>
                <w:szCs w:val="20"/>
                <w:lang w:val="fr-CA"/>
              </w:rPr>
              <w:t> </w:t>
            </w:r>
            <w:r w:rsidRPr="006D2A16">
              <w:rPr>
                <w:rFonts w:ascii="Arial" w:hAnsi="Arial" w:cs="Arial"/>
                <w:sz w:val="20"/>
                <w:szCs w:val="20"/>
                <w:lang w:val="fr-CA"/>
              </w:rPr>
              <w:t>87 de la FINRA comme solution de rechange aux compétences requises. Bien que la partie I du cours Series</w:t>
            </w:r>
            <w:r w:rsidR="00EE1F35" w:rsidRPr="006D2A16">
              <w:rPr>
                <w:rFonts w:ascii="Arial" w:hAnsi="Arial" w:cs="Arial"/>
                <w:sz w:val="20"/>
                <w:szCs w:val="20"/>
                <w:lang w:val="fr-CA"/>
              </w:rPr>
              <w:t> </w:t>
            </w:r>
            <w:r w:rsidRPr="006D2A16">
              <w:rPr>
                <w:rFonts w:ascii="Arial" w:hAnsi="Arial" w:cs="Arial"/>
                <w:sz w:val="20"/>
                <w:szCs w:val="20"/>
                <w:lang w:val="fr-CA"/>
              </w:rPr>
              <w:t>16 porte sur les règles américaines, les surveillants canadiens travaillent en étroite collaboration avec leur équipe de contrôle de la conformité au Canada pour assurer le respect des exigences de la réglementation canadienne, et la partie</w:t>
            </w:r>
            <w:r w:rsidR="00EE1F35" w:rsidRPr="006D2A16">
              <w:rPr>
                <w:rFonts w:ascii="Arial" w:hAnsi="Arial" w:cs="Arial"/>
                <w:sz w:val="20"/>
                <w:szCs w:val="20"/>
                <w:lang w:val="fr-CA"/>
              </w:rPr>
              <w:t> </w:t>
            </w:r>
            <w:r w:rsidRPr="006D2A16">
              <w:rPr>
                <w:rFonts w:ascii="Arial" w:hAnsi="Arial" w:cs="Arial"/>
                <w:sz w:val="20"/>
                <w:szCs w:val="20"/>
                <w:lang w:val="fr-CA"/>
              </w:rPr>
              <w:t>II du cours Series</w:t>
            </w:r>
            <w:r w:rsidR="00EE1F35" w:rsidRPr="006D2A16">
              <w:rPr>
                <w:rFonts w:ascii="Arial" w:hAnsi="Arial" w:cs="Arial"/>
                <w:sz w:val="20"/>
                <w:szCs w:val="20"/>
                <w:lang w:val="fr-CA"/>
              </w:rPr>
              <w:t> </w:t>
            </w:r>
            <w:r w:rsidRPr="006D2A16">
              <w:rPr>
                <w:rFonts w:ascii="Arial" w:hAnsi="Arial" w:cs="Arial"/>
                <w:sz w:val="20"/>
                <w:szCs w:val="20"/>
                <w:lang w:val="fr-CA"/>
              </w:rPr>
              <w:t>16 a une portée équivalente à celle du niveau I du programme de CFA.</w:t>
            </w:r>
          </w:p>
          <w:p w14:paraId="64025F4C" w14:textId="77777777" w:rsidR="0043737B" w:rsidRPr="006D2A16" w:rsidRDefault="0043737B" w:rsidP="00D73131">
            <w:pPr>
              <w:pStyle w:val="BodyText"/>
              <w:ind w:left="107" w:right="341"/>
              <w:rPr>
                <w:rFonts w:ascii="Arial" w:hAnsi="Arial" w:cs="Arial"/>
                <w:sz w:val="20"/>
                <w:szCs w:val="20"/>
                <w:lang w:val="fr-CA"/>
              </w:rPr>
            </w:pPr>
          </w:p>
        </w:tc>
        <w:tc>
          <w:tcPr>
            <w:tcW w:w="1704" w:type="pct"/>
            <w:vMerge w:val="restart"/>
          </w:tcPr>
          <w:p w14:paraId="14F6B372" w14:textId="581C2B98" w:rsidR="00FF6FC1" w:rsidRPr="006D2A16" w:rsidRDefault="00FF6FC1" w:rsidP="00D73131">
            <w:pPr>
              <w:pStyle w:val="BodyText"/>
              <w:ind w:right="97"/>
              <w:rPr>
                <w:rFonts w:ascii="Arial" w:hAnsi="Arial" w:cs="Arial"/>
                <w:spacing w:val="2"/>
                <w:sz w:val="20"/>
                <w:szCs w:val="20"/>
                <w:lang w:val="fr-CA"/>
              </w:rPr>
            </w:pPr>
            <w:r w:rsidRPr="006D2A16">
              <w:rPr>
                <w:rFonts w:ascii="Arial" w:hAnsi="Arial" w:cs="Arial"/>
                <w:spacing w:val="2"/>
                <w:sz w:val="20"/>
                <w:szCs w:val="20"/>
                <w:lang w:val="fr-CA"/>
              </w:rPr>
              <w:t>Nous avons réexaminé le cours Series</w:t>
            </w:r>
            <w:r w:rsidR="00EE1F35" w:rsidRPr="006D2A16">
              <w:rPr>
                <w:rFonts w:ascii="Arial" w:hAnsi="Arial" w:cs="Arial"/>
                <w:spacing w:val="2"/>
                <w:sz w:val="20"/>
                <w:szCs w:val="20"/>
                <w:lang w:val="fr-CA"/>
              </w:rPr>
              <w:t> </w:t>
            </w:r>
            <w:r w:rsidRPr="006D2A16">
              <w:rPr>
                <w:rFonts w:ascii="Arial" w:hAnsi="Arial" w:cs="Arial"/>
                <w:spacing w:val="2"/>
                <w:sz w:val="20"/>
                <w:szCs w:val="20"/>
                <w:lang w:val="fr-CA"/>
              </w:rPr>
              <w:t>16 de la FINRA et avons déterminé que lorsqu’une personne physique a été inscrite auprès de la FINRA dans des fonctions analogues au cours des trois années précédant sa demande d’autorisation, ce cours peut constituer une solution de rechange aux compétences requises. La personne doit aussi réussir le Cours relatif au MNC, cours sur les règles de conduite et de déontologie qui est propre au cadre réglementaire de l’OCRCVM.</w:t>
            </w:r>
          </w:p>
          <w:p w14:paraId="6DA5A647" w14:textId="7CDB13BA" w:rsidR="00FF6FC1" w:rsidRDefault="00FF6FC1" w:rsidP="00D73131">
            <w:pPr>
              <w:pStyle w:val="BodyText"/>
              <w:ind w:right="97"/>
              <w:rPr>
                <w:rFonts w:ascii="Arial" w:hAnsi="Arial" w:cs="Arial"/>
                <w:spacing w:val="2"/>
                <w:sz w:val="20"/>
                <w:szCs w:val="20"/>
              </w:rPr>
            </w:pPr>
            <w:r w:rsidRPr="006D2A16">
              <w:rPr>
                <w:rFonts w:ascii="Arial" w:hAnsi="Arial" w:cs="Arial"/>
                <w:spacing w:val="2"/>
                <w:sz w:val="20"/>
                <w:szCs w:val="20"/>
                <w:lang w:val="fr-CA"/>
              </w:rPr>
              <w:t>D’autres compétences telles que les cours Series 86/87 et Series</w:t>
            </w:r>
            <w:r w:rsidR="00EE1F35" w:rsidRPr="006D2A16">
              <w:rPr>
                <w:rFonts w:ascii="Arial" w:hAnsi="Arial" w:cs="Arial"/>
                <w:spacing w:val="2"/>
                <w:sz w:val="20"/>
                <w:szCs w:val="20"/>
                <w:lang w:val="fr-CA"/>
              </w:rPr>
              <w:t> </w:t>
            </w:r>
            <w:r w:rsidRPr="006D2A16">
              <w:rPr>
                <w:rFonts w:ascii="Arial" w:hAnsi="Arial" w:cs="Arial"/>
                <w:spacing w:val="2"/>
                <w:sz w:val="20"/>
                <w:szCs w:val="20"/>
                <w:lang w:val="fr-CA"/>
              </w:rPr>
              <w:t xml:space="preserve">24 de la FINRA, ou l’attestation annuelle portant sur le respect du code de déontologie du CFA Institute, peuvent être des compétences indiquées que le conseil de section compétent juge acceptables. </w:t>
            </w:r>
            <w:r>
              <w:rPr>
                <w:rFonts w:ascii="Arial" w:hAnsi="Arial" w:cs="Arial"/>
                <w:spacing w:val="2"/>
                <w:sz w:val="20"/>
                <w:szCs w:val="20"/>
              </w:rPr>
              <w:t>Ces situations sont étudiées au cas par cas.</w:t>
            </w:r>
          </w:p>
          <w:p w14:paraId="5E128146" w14:textId="71589053" w:rsidR="0043737B" w:rsidRPr="0043737B" w:rsidRDefault="0043737B" w:rsidP="00D73131">
            <w:pPr>
              <w:pStyle w:val="BodyText"/>
              <w:ind w:right="97"/>
              <w:rPr>
                <w:rFonts w:ascii="Arial" w:hAnsi="Arial" w:cs="Arial"/>
                <w:sz w:val="20"/>
                <w:szCs w:val="20"/>
              </w:rPr>
            </w:pPr>
          </w:p>
          <w:p w14:paraId="4A0EC5C5" w14:textId="77777777" w:rsidR="0043737B" w:rsidRPr="0043737B" w:rsidRDefault="0043737B" w:rsidP="00D73131">
            <w:pPr>
              <w:pStyle w:val="BodyText"/>
              <w:ind w:left="107" w:right="138"/>
              <w:rPr>
                <w:rFonts w:ascii="Arial" w:hAnsi="Arial" w:cs="Arial"/>
                <w:sz w:val="20"/>
                <w:szCs w:val="20"/>
              </w:rPr>
            </w:pPr>
          </w:p>
        </w:tc>
      </w:tr>
      <w:tr w:rsidR="0043737B" w:rsidRPr="006D2A16" w14:paraId="27F54FB5" w14:textId="77777777" w:rsidTr="006D2A16">
        <w:trPr>
          <w:gridAfter w:val="1"/>
          <w:wAfter w:w="3" w:type="pct"/>
        </w:trPr>
        <w:tc>
          <w:tcPr>
            <w:tcW w:w="3293" w:type="pct"/>
          </w:tcPr>
          <w:p w14:paraId="047C8765" w14:textId="15434253" w:rsidR="0043737B" w:rsidRPr="006D2A16" w:rsidRDefault="00B4663B" w:rsidP="00D73131">
            <w:pPr>
              <w:pStyle w:val="BodyText"/>
              <w:rPr>
                <w:rFonts w:ascii="Arial" w:hAnsi="Arial" w:cs="Arial"/>
                <w:sz w:val="20"/>
                <w:szCs w:val="20"/>
                <w:lang w:val="fr-CA"/>
              </w:rPr>
            </w:pPr>
            <w:r w:rsidRPr="006D2A16">
              <w:rPr>
                <w:rFonts w:ascii="Arial" w:hAnsi="Arial" w:cs="Arial"/>
                <w:sz w:val="20"/>
                <w:szCs w:val="20"/>
                <w:lang w:val="fr-CA"/>
              </w:rPr>
              <w:t>Les intervenants soulignent que l’OCRCVM reconnaît les examens administrés par la FINRA comme compétences acceptables pour plusieurs autres fonctions de surveillance; par exemple, dans le cas des surveillants affectés à la surveillance des comptes d’options et des surveillants affectés à la surveillance des comptes de contrats à terme standardisés, les cours Series</w:t>
            </w:r>
            <w:r w:rsidR="00EE1F35" w:rsidRPr="006D2A16">
              <w:rPr>
                <w:rFonts w:ascii="Arial" w:hAnsi="Arial" w:cs="Arial"/>
                <w:sz w:val="20"/>
                <w:szCs w:val="20"/>
                <w:lang w:val="fr-CA"/>
              </w:rPr>
              <w:t> </w:t>
            </w:r>
            <w:r w:rsidRPr="006D2A16">
              <w:rPr>
                <w:rFonts w:ascii="Arial" w:hAnsi="Arial" w:cs="Arial"/>
                <w:sz w:val="20"/>
                <w:szCs w:val="20"/>
                <w:lang w:val="fr-CA"/>
              </w:rPr>
              <w:t>3 et Series</w:t>
            </w:r>
            <w:r w:rsidR="00EE1F35" w:rsidRPr="006D2A16">
              <w:rPr>
                <w:rFonts w:ascii="Arial" w:hAnsi="Arial" w:cs="Arial"/>
                <w:sz w:val="20"/>
                <w:szCs w:val="20"/>
                <w:lang w:val="fr-CA"/>
              </w:rPr>
              <w:t> </w:t>
            </w:r>
            <w:r w:rsidRPr="006D2A16">
              <w:rPr>
                <w:rFonts w:ascii="Arial" w:hAnsi="Arial" w:cs="Arial"/>
                <w:sz w:val="20"/>
                <w:szCs w:val="20"/>
                <w:lang w:val="fr-CA"/>
              </w:rPr>
              <w:t>7 de la FINRA sont considérés comme des cours acceptables.</w:t>
            </w:r>
          </w:p>
          <w:p w14:paraId="02E6638A" w14:textId="77777777" w:rsidR="0043737B" w:rsidRPr="006D2A16" w:rsidRDefault="0043737B" w:rsidP="00D73131">
            <w:pPr>
              <w:pStyle w:val="BodyText"/>
              <w:ind w:left="107" w:right="341"/>
              <w:rPr>
                <w:rFonts w:ascii="Arial" w:hAnsi="Arial" w:cs="Arial"/>
                <w:sz w:val="20"/>
                <w:szCs w:val="20"/>
                <w:lang w:val="fr-CA"/>
              </w:rPr>
            </w:pPr>
          </w:p>
        </w:tc>
        <w:tc>
          <w:tcPr>
            <w:tcW w:w="1704" w:type="pct"/>
            <w:vMerge/>
          </w:tcPr>
          <w:p w14:paraId="5B85680B" w14:textId="77777777" w:rsidR="0043737B" w:rsidRPr="006D2A16" w:rsidRDefault="0043737B" w:rsidP="00D73131">
            <w:pPr>
              <w:pStyle w:val="BodyText"/>
              <w:ind w:left="107" w:right="138"/>
              <w:rPr>
                <w:lang w:val="fr-CA"/>
              </w:rPr>
            </w:pPr>
          </w:p>
        </w:tc>
      </w:tr>
      <w:tr w:rsidR="0043737B" w:rsidRPr="006D2A16" w14:paraId="0437E289" w14:textId="77777777" w:rsidTr="006D2A16">
        <w:trPr>
          <w:gridAfter w:val="1"/>
          <w:wAfter w:w="3" w:type="pct"/>
        </w:trPr>
        <w:tc>
          <w:tcPr>
            <w:tcW w:w="3293" w:type="pct"/>
          </w:tcPr>
          <w:p w14:paraId="64E8F528" w14:textId="19807A44" w:rsidR="0043737B" w:rsidRPr="006D2A16" w:rsidRDefault="00B4663B" w:rsidP="00D73131">
            <w:pPr>
              <w:pStyle w:val="BodyText"/>
              <w:ind w:right="197"/>
              <w:rPr>
                <w:rFonts w:ascii="Arial" w:hAnsi="Arial" w:cs="Arial"/>
                <w:sz w:val="20"/>
                <w:szCs w:val="20"/>
                <w:lang w:val="fr-CA"/>
              </w:rPr>
            </w:pPr>
            <w:r w:rsidRPr="006D2A16">
              <w:rPr>
                <w:rFonts w:ascii="Arial" w:hAnsi="Arial" w:cs="Arial"/>
                <w:sz w:val="20"/>
                <w:szCs w:val="20"/>
                <w:lang w:val="fr-CA"/>
              </w:rPr>
              <w:t>Certains intervenants font remarquer que CSI n’offre pas de cours distinct pour les surveillants affectés à la surveillance des rapports de recherche. Tant qu’un cours particulier n’aura pas été élaboré, ces intervenants recommandent de considérer comme appropriée une combinaison de cours comprenant le niveau I du programme de CFA, le cours Series</w:t>
            </w:r>
            <w:r w:rsidR="00EE1F35" w:rsidRPr="006D2A16">
              <w:rPr>
                <w:rFonts w:ascii="Arial" w:hAnsi="Arial" w:cs="Arial"/>
                <w:sz w:val="20"/>
                <w:szCs w:val="20"/>
                <w:lang w:val="fr-CA"/>
              </w:rPr>
              <w:t> </w:t>
            </w:r>
            <w:r w:rsidRPr="006D2A16">
              <w:rPr>
                <w:rFonts w:ascii="Arial" w:hAnsi="Arial" w:cs="Arial"/>
                <w:sz w:val="20"/>
                <w:szCs w:val="20"/>
                <w:lang w:val="fr-CA"/>
              </w:rPr>
              <w:t>16 de la FINRA ou les cours Series</w:t>
            </w:r>
            <w:r w:rsidR="00EE1F35" w:rsidRPr="006D2A16">
              <w:rPr>
                <w:rFonts w:ascii="Arial" w:hAnsi="Arial" w:cs="Arial"/>
                <w:sz w:val="20"/>
                <w:szCs w:val="20"/>
                <w:lang w:val="fr-CA"/>
              </w:rPr>
              <w:t> </w:t>
            </w:r>
            <w:r w:rsidRPr="006D2A16">
              <w:rPr>
                <w:rFonts w:ascii="Arial" w:hAnsi="Arial" w:cs="Arial"/>
                <w:sz w:val="20"/>
                <w:szCs w:val="20"/>
                <w:lang w:val="fr-CA"/>
              </w:rPr>
              <w:t>87 et Series</w:t>
            </w:r>
            <w:r w:rsidR="00EE1F35" w:rsidRPr="006D2A16">
              <w:rPr>
                <w:rFonts w:ascii="Arial" w:hAnsi="Arial" w:cs="Arial"/>
                <w:sz w:val="20"/>
                <w:szCs w:val="20"/>
                <w:lang w:val="fr-CA"/>
              </w:rPr>
              <w:t> </w:t>
            </w:r>
            <w:r w:rsidRPr="006D2A16">
              <w:rPr>
                <w:rFonts w:ascii="Arial" w:hAnsi="Arial" w:cs="Arial"/>
                <w:sz w:val="20"/>
                <w:szCs w:val="20"/>
                <w:lang w:val="fr-CA"/>
              </w:rPr>
              <w:t>24 de la FINRA, et le cours AAD, le Cours relatif au MNC, le cours à l’intention des surveillants de conseillers en placement ou l’attestation annuelle portant sur le respect du code de déontologie du CFA Institute.</w:t>
            </w:r>
          </w:p>
          <w:p w14:paraId="5F4EED90" w14:textId="77777777" w:rsidR="0043737B" w:rsidRPr="006D2A16" w:rsidRDefault="0043737B" w:rsidP="00D73131">
            <w:pPr>
              <w:pStyle w:val="BodyText"/>
              <w:ind w:left="107" w:right="341"/>
              <w:rPr>
                <w:rFonts w:ascii="Arial" w:hAnsi="Arial" w:cs="Arial"/>
                <w:sz w:val="20"/>
                <w:szCs w:val="20"/>
                <w:lang w:val="fr-CA"/>
              </w:rPr>
            </w:pPr>
          </w:p>
        </w:tc>
        <w:tc>
          <w:tcPr>
            <w:tcW w:w="1704" w:type="pct"/>
            <w:vMerge/>
          </w:tcPr>
          <w:p w14:paraId="71FCA44C" w14:textId="77777777" w:rsidR="0043737B" w:rsidRPr="006D2A16" w:rsidRDefault="0043737B" w:rsidP="00D73131">
            <w:pPr>
              <w:pStyle w:val="BodyText"/>
              <w:ind w:left="107" w:right="138"/>
              <w:rPr>
                <w:lang w:val="fr-CA"/>
              </w:rPr>
            </w:pPr>
          </w:p>
        </w:tc>
      </w:tr>
      <w:tr w:rsidR="0043737B" w:rsidRPr="006D2A16" w14:paraId="36C79EDD" w14:textId="77777777" w:rsidTr="006D2A16">
        <w:tc>
          <w:tcPr>
            <w:tcW w:w="5000" w:type="pct"/>
            <w:gridSpan w:val="3"/>
            <w:shd w:val="clear" w:color="auto" w:fill="FDE9D9" w:themeFill="accent6" w:themeFillTint="33"/>
          </w:tcPr>
          <w:p w14:paraId="28C44FF3" w14:textId="77777777" w:rsidR="0043737B" w:rsidRDefault="00F804F6" w:rsidP="00BE7AA0">
            <w:pPr>
              <w:pStyle w:val="BodyText"/>
              <w:ind w:right="1143"/>
              <w:rPr>
                <w:rFonts w:ascii="Arial" w:hAnsi="Arial" w:cs="Arial"/>
                <w:sz w:val="20"/>
                <w:lang w:val="fr-CA"/>
              </w:rPr>
            </w:pPr>
            <w:r w:rsidRPr="006D2A16">
              <w:rPr>
                <w:rFonts w:ascii="Arial" w:hAnsi="Arial" w:cs="Arial"/>
                <w:sz w:val="20"/>
                <w:u w:val="single"/>
                <w:lang w:val="fr-CA"/>
              </w:rPr>
              <w:t>Paragraphe</w:t>
            </w:r>
            <w:r w:rsidR="00EE1F35" w:rsidRPr="006D2A16">
              <w:rPr>
                <w:rFonts w:ascii="Arial" w:hAnsi="Arial" w:cs="Arial"/>
                <w:sz w:val="20"/>
                <w:u w:val="single"/>
                <w:lang w:val="fr-CA"/>
              </w:rPr>
              <w:t> </w:t>
            </w:r>
            <w:r w:rsidRPr="006D2A16">
              <w:rPr>
                <w:rFonts w:ascii="Arial" w:hAnsi="Arial" w:cs="Arial"/>
                <w:sz w:val="20"/>
                <w:u w:val="single"/>
                <w:lang w:val="fr-CA"/>
              </w:rPr>
              <w:t>2629(3)</w:t>
            </w:r>
            <w:r w:rsidR="00FF6FC1" w:rsidRPr="006D2A16">
              <w:rPr>
                <w:rFonts w:ascii="Arial" w:hAnsi="Arial" w:cs="Arial"/>
                <w:sz w:val="20"/>
                <w:lang w:val="fr-CA"/>
              </w:rPr>
              <w:t xml:space="preserve"> – Dispenses des compétences requises – Modification de la catégorie d’autorisation des Représentants inscrits (dont le type d’activité comporte la gestion de portefeuille) selon le nouveau régime d’inscription</w:t>
            </w:r>
            <w:r w:rsidR="008B74C2" w:rsidRPr="006D2A16">
              <w:rPr>
                <w:rFonts w:ascii="Arial" w:hAnsi="Arial" w:cs="Arial"/>
                <w:sz w:val="20"/>
                <w:lang w:val="fr-CA"/>
              </w:rPr>
              <w:t xml:space="preserve"> </w:t>
            </w:r>
            <w:r w:rsidRPr="006D2A16">
              <w:rPr>
                <w:rFonts w:ascii="Arial" w:hAnsi="Arial" w:cs="Arial"/>
                <w:sz w:val="20"/>
                <w:lang w:val="fr-CA"/>
              </w:rPr>
              <w:t>[</w:t>
            </w:r>
            <w:r w:rsidR="00EE1F35" w:rsidRPr="006D2A16">
              <w:rPr>
                <w:rFonts w:ascii="Arial" w:hAnsi="Arial" w:cs="Arial"/>
                <w:i/>
                <w:sz w:val="20"/>
                <w:lang w:val="fr-CA"/>
              </w:rPr>
              <w:t>ancien</w:t>
            </w:r>
            <w:r w:rsidRPr="00EE1F35">
              <w:rPr>
                <w:rFonts w:ascii="Arial" w:hAnsi="Arial" w:cs="Arial"/>
                <w:i/>
                <w:sz w:val="20"/>
                <w:lang w:val="fr-CA"/>
              </w:rPr>
              <w:t xml:space="preserve"> paragraphe</w:t>
            </w:r>
            <w:r w:rsidR="00EE1F35">
              <w:rPr>
                <w:rFonts w:ascii="Arial" w:hAnsi="Arial" w:cs="Arial"/>
                <w:sz w:val="20"/>
                <w:lang w:val="fr-CA"/>
              </w:rPr>
              <w:t> </w:t>
            </w:r>
            <w:r w:rsidRPr="00EE1F35">
              <w:rPr>
                <w:rFonts w:ascii="Arial" w:hAnsi="Arial" w:cs="Arial"/>
                <w:i/>
                <w:sz w:val="20"/>
                <w:lang w:val="fr-CA"/>
              </w:rPr>
              <w:t>2607(3)</w:t>
            </w:r>
            <w:r w:rsidRPr="006D2A16">
              <w:rPr>
                <w:rFonts w:ascii="Arial" w:hAnsi="Arial" w:cs="Arial"/>
                <w:sz w:val="20"/>
                <w:lang w:val="fr-CA"/>
              </w:rPr>
              <w:t>]</w:t>
            </w:r>
          </w:p>
          <w:p w14:paraId="244644BC" w14:textId="496452AB" w:rsidR="009D76ED" w:rsidRPr="006D2A16" w:rsidRDefault="009D76ED" w:rsidP="00BE7AA0">
            <w:pPr>
              <w:pStyle w:val="BodyText"/>
              <w:ind w:right="1143"/>
              <w:rPr>
                <w:rFonts w:ascii="Arial" w:hAnsi="Arial" w:cs="Arial"/>
                <w:sz w:val="20"/>
                <w:lang w:val="fr-CA"/>
              </w:rPr>
            </w:pPr>
          </w:p>
        </w:tc>
      </w:tr>
      <w:tr w:rsidR="0043737B" w:rsidRPr="006D2A16" w14:paraId="46579472" w14:textId="77777777" w:rsidTr="006D2A16">
        <w:trPr>
          <w:gridAfter w:val="1"/>
          <w:wAfter w:w="3" w:type="pct"/>
        </w:trPr>
        <w:tc>
          <w:tcPr>
            <w:tcW w:w="3293" w:type="pct"/>
          </w:tcPr>
          <w:p w14:paraId="750FDCD8" w14:textId="1361D0AB" w:rsidR="0043737B" w:rsidRPr="006D2A16" w:rsidRDefault="00FF6FC1" w:rsidP="00D73131">
            <w:pPr>
              <w:pStyle w:val="BodyText"/>
              <w:ind w:right="108"/>
              <w:rPr>
                <w:rFonts w:ascii="Arial" w:hAnsi="Arial" w:cs="Arial"/>
                <w:sz w:val="20"/>
                <w:szCs w:val="20"/>
                <w:lang w:val="fr-CA"/>
              </w:rPr>
            </w:pPr>
            <w:r w:rsidRPr="006D2A16">
              <w:rPr>
                <w:rFonts w:ascii="Arial" w:hAnsi="Arial" w:cs="Arial"/>
                <w:sz w:val="20"/>
                <w:szCs w:val="20"/>
                <w:lang w:val="fr-CA"/>
              </w:rPr>
              <w:t>Les intervenants estiment qu’il est nécessaire de plafonner les frais afin d’éviter les pénalités excessives pour dépôt tardif. Par exemple, si le courtier membre et la personne physique ont satisfait aux exigences de fond prévues par l’article mais ont involontairement omis de déposer les documents requis, ils pourraient encourir des frais disproportionnés par rapport à la nature de la contravention. Les intervenants recommandent que la pénalité pour dépôt tardif soit plafonnée à 2 500 $.</w:t>
            </w:r>
          </w:p>
          <w:p w14:paraId="7CA1C1B9" w14:textId="77777777" w:rsidR="0043737B" w:rsidRPr="006D2A16" w:rsidRDefault="0043737B" w:rsidP="00D73131">
            <w:pPr>
              <w:pStyle w:val="BodyText"/>
              <w:ind w:left="107" w:right="197"/>
              <w:rPr>
                <w:rFonts w:ascii="Arial" w:hAnsi="Arial" w:cs="Arial"/>
                <w:sz w:val="20"/>
                <w:szCs w:val="20"/>
                <w:lang w:val="fr-CA"/>
              </w:rPr>
            </w:pPr>
          </w:p>
        </w:tc>
        <w:tc>
          <w:tcPr>
            <w:tcW w:w="1704" w:type="pct"/>
          </w:tcPr>
          <w:p w14:paraId="73002305" w14:textId="05070822" w:rsidR="0043737B" w:rsidRPr="006D2A16" w:rsidRDefault="00FF6FC1" w:rsidP="00BE7AA0">
            <w:pPr>
              <w:pStyle w:val="BodyText"/>
              <w:ind w:right="229"/>
              <w:rPr>
                <w:rFonts w:ascii="Arial" w:hAnsi="Arial" w:cs="Arial"/>
                <w:sz w:val="20"/>
                <w:szCs w:val="20"/>
                <w:lang w:val="fr-CA"/>
              </w:rPr>
            </w:pPr>
            <w:r w:rsidRPr="006D2A16">
              <w:rPr>
                <w:rFonts w:ascii="Arial" w:hAnsi="Arial" w:cs="Arial"/>
                <w:sz w:val="20"/>
                <w:szCs w:val="20"/>
                <w:lang w:val="fr-CA"/>
              </w:rPr>
              <w:t>Les courtiers membres qui omettent de déposer le</w:t>
            </w:r>
            <w:r w:rsidR="00EA3392" w:rsidRPr="006D2A16">
              <w:rPr>
                <w:rFonts w:ascii="Arial" w:hAnsi="Arial" w:cs="Arial"/>
                <w:sz w:val="20"/>
                <w:szCs w:val="20"/>
                <w:lang w:val="fr-CA"/>
              </w:rPr>
              <w:t xml:space="preserve"> Formulaire prévu à l’Annexe 33</w:t>
            </w:r>
            <w:r w:rsidR="00EA3392" w:rsidRPr="006D2A16">
              <w:rPr>
                <w:rFonts w:ascii="Arial" w:hAnsi="Arial" w:cs="Arial"/>
                <w:sz w:val="20"/>
                <w:szCs w:val="20"/>
                <w:lang w:val="fr-CA"/>
              </w:rPr>
              <w:noBreakHyphen/>
            </w:r>
            <w:r w:rsidRPr="006D2A16">
              <w:rPr>
                <w:rFonts w:ascii="Arial" w:hAnsi="Arial" w:cs="Arial"/>
                <w:sz w:val="20"/>
                <w:szCs w:val="20"/>
                <w:lang w:val="fr-CA"/>
              </w:rPr>
              <w:t>109A2 au moyen de la Base de données nationale d’inscription dans l</w:t>
            </w:r>
            <w:r w:rsidR="00F804F6" w:rsidRPr="006D2A16">
              <w:rPr>
                <w:rFonts w:ascii="Arial" w:hAnsi="Arial" w:cs="Arial"/>
                <w:sz w:val="20"/>
                <w:szCs w:val="20"/>
                <w:lang w:val="fr-CA"/>
              </w:rPr>
              <w:t>e délai prévu au paragraphe</w:t>
            </w:r>
            <w:r w:rsidR="00EE1F35" w:rsidRPr="006D2A16">
              <w:rPr>
                <w:rFonts w:ascii="Arial" w:hAnsi="Arial" w:cs="Arial"/>
                <w:sz w:val="20"/>
                <w:szCs w:val="20"/>
                <w:lang w:val="fr-CA"/>
              </w:rPr>
              <w:t> </w:t>
            </w:r>
            <w:r w:rsidR="00F804F6" w:rsidRPr="006D2A16">
              <w:rPr>
                <w:rFonts w:ascii="Arial" w:hAnsi="Arial" w:cs="Arial"/>
                <w:sz w:val="20"/>
                <w:szCs w:val="20"/>
                <w:lang w:val="fr-CA"/>
              </w:rPr>
              <w:t>2629</w:t>
            </w:r>
            <w:r w:rsidRPr="006D2A16">
              <w:rPr>
                <w:rFonts w:ascii="Arial" w:hAnsi="Arial" w:cs="Arial"/>
                <w:sz w:val="20"/>
                <w:szCs w:val="20"/>
                <w:lang w:val="fr-CA"/>
              </w:rPr>
              <w:t>(2) doivent payer une pénalité pour dépôt tardif de 100 $ par jour ouvrable, à concurrence de 2 000 $.</w:t>
            </w:r>
          </w:p>
          <w:p w14:paraId="11AC0366" w14:textId="77777777" w:rsidR="00FF6FC1" w:rsidRDefault="00FF6FC1" w:rsidP="00BE7AA0">
            <w:pPr>
              <w:pStyle w:val="BodyText"/>
              <w:ind w:right="229"/>
              <w:rPr>
                <w:rFonts w:ascii="Arial" w:hAnsi="Arial" w:cs="Arial"/>
                <w:sz w:val="20"/>
                <w:szCs w:val="20"/>
                <w:lang w:val="fr-CA"/>
              </w:rPr>
            </w:pPr>
            <w:r w:rsidRPr="006D2A16">
              <w:rPr>
                <w:rFonts w:ascii="Arial" w:hAnsi="Arial" w:cs="Arial"/>
                <w:sz w:val="20"/>
                <w:szCs w:val="20"/>
                <w:lang w:val="fr-CA"/>
              </w:rPr>
              <w:t>Nous prévoyons fournir des orientations à ce sujet.</w:t>
            </w:r>
          </w:p>
          <w:p w14:paraId="5414E0D9" w14:textId="77777777" w:rsidR="002B2660" w:rsidRDefault="002B2660" w:rsidP="00BE7AA0">
            <w:pPr>
              <w:pStyle w:val="BodyText"/>
              <w:ind w:right="229"/>
              <w:rPr>
                <w:rFonts w:ascii="Arial" w:hAnsi="Arial" w:cs="Arial"/>
                <w:sz w:val="20"/>
                <w:szCs w:val="20"/>
                <w:lang w:val="fr-CA"/>
              </w:rPr>
            </w:pPr>
          </w:p>
          <w:p w14:paraId="4B3AAE9A" w14:textId="77777777" w:rsidR="009B6F17" w:rsidRDefault="009B6F17" w:rsidP="00BE7AA0">
            <w:pPr>
              <w:pStyle w:val="BodyText"/>
              <w:ind w:right="229"/>
              <w:rPr>
                <w:rFonts w:ascii="Arial" w:hAnsi="Arial" w:cs="Arial"/>
                <w:sz w:val="20"/>
                <w:szCs w:val="20"/>
                <w:lang w:val="fr-CA"/>
              </w:rPr>
            </w:pPr>
          </w:p>
          <w:p w14:paraId="22BB280D" w14:textId="77777777" w:rsidR="009B6F17" w:rsidRDefault="009B6F17" w:rsidP="00BE7AA0">
            <w:pPr>
              <w:pStyle w:val="BodyText"/>
              <w:ind w:right="229"/>
              <w:rPr>
                <w:rFonts w:ascii="Arial" w:hAnsi="Arial" w:cs="Arial"/>
                <w:sz w:val="20"/>
                <w:szCs w:val="20"/>
                <w:lang w:val="fr-CA"/>
              </w:rPr>
            </w:pPr>
          </w:p>
          <w:p w14:paraId="00A8295A" w14:textId="77777777" w:rsidR="009B6F17" w:rsidRDefault="009B6F17" w:rsidP="00BE7AA0">
            <w:pPr>
              <w:pStyle w:val="BodyText"/>
              <w:ind w:right="229"/>
              <w:rPr>
                <w:rFonts w:ascii="Arial" w:hAnsi="Arial" w:cs="Arial"/>
                <w:sz w:val="20"/>
                <w:szCs w:val="20"/>
                <w:lang w:val="fr-CA"/>
              </w:rPr>
            </w:pPr>
          </w:p>
          <w:p w14:paraId="6491BEF4" w14:textId="21C0E89A" w:rsidR="009B6F17" w:rsidRPr="006D2A16" w:rsidRDefault="009B6F17" w:rsidP="00BE7AA0">
            <w:pPr>
              <w:pStyle w:val="BodyText"/>
              <w:ind w:right="229"/>
              <w:rPr>
                <w:rFonts w:ascii="Arial" w:hAnsi="Arial" w:cs="Arial"/>
                <w:sz w:val="20"/>
                <w:szCs w:val="20"/>
                <w:lang w:val="fr-CA"/>
              </w:rPr>
            </w:pPr>
          </w:p>
        </w:tc>
      </w:tr>
      <w:tr w:rsidR="0043737B" w:rsidRPr="00F67CAF" w14:paraId="50C1A0DF" w14:textId="77777777" w:rsidTr="006D2A16">
        <w:tc>
          <w:tcPr>
            <w:tcW w:w="5000" w:type="pct"/>
            <w:gridSpan w:val="3"/>
            <w:shd w:val="clear" w:color="auto" w:fill="FBD4B4" w:themeFill="accent6" w:themeFillTint="66"/>
          </w:tcPr>
          <w:p w14:paraId="00362198" w14:textId="77777777" w:rsidR="009D76ED" w:rsidRDefault="00F804F6" w:rsidP="00BE7AA0">
            <w:pPr>
              <w:pStyle w:val="BodyText"/>
              <w:tabs>
                <w:tab w:val="center" w:pos="5802"/>
              </w:tabs>
              <w:ind w:right="138"/>
              <w:rPr>
                <w:rFonts w:ascii="Arial" w:hAnsi="Arial" w:cs="Arial"/>
                <w:b/>
                <w:sz w:val="20"/>
                <w:szCs w:val="20"/>
              </w:rPr>
            </w:pPr>
            <w:r>
              <w:rPr>
                <w:rFonts w:ascii="Arial" w:hAnsi="Arial" w:cs="Arial"/>
                <w:b/>
                <w:sz w:val="20"/>
                <w:szCs w:val="20"/>
              </w:rPr>
              <w:t>Série</w:t>
            </w:r>
            <w:r w:rsidR="00EE1F35">
              <w:rPr>
                <w:rFonts w:ascii="Arial" w:hAnsi="Arial" w:cs="Arial"/>
                <w:b/>
                <w:sz w:val="20"/>
                <w:szCs w:val="20"/>
              </w:rPr>
              <w:t> </w:t>
            </w:r>
            <w:r>
              <w:rPr>
                <w:rFonts w:ascii="Arial" w:hAnsi="Arial" w:cs="Arial"/>
                <w:b/>
                <w:sz w:val="20"/>
                <w:szCs w:val="20"/>
              </w:rPr>
              <w:t>3000</w:t>
            </w:r>
          </w:p>
          <w:p w14:paraId="5757721D" w14:textId="4BB1D49B" w:rsidR="0043737B" w:rsidRDefault="0043737B" w:rsidP="00BE7AA0">
            <w:pPr>
              <w:pStyle w:val="BodyText"/>
              <w:tabs>
                <w:tab w:val="center" w:pos="5802"/>
              </w:tabs>
              <w:ind w:right="138"/>
            </w:pPr>
            <w:r>
              <w:rPr>
                <w:rFonts w:ascii="Arial" w:hAnsi="Arial" w:cs="Arial"/>
                <w:b/>
                <w:sz w:val="20"/>
                <w:szCs w:val="20"/>
              </w:rPr>
              <w:tab/>
            </w:r>
          </w:p>
        </w:tc>
      </w:tr>
      <w:tr w:rsidR="0043737B" w:rsidRPr="00F67CAF" w14:paraId="5770D75E" w14:textId="77777777" w:rsidTr="006D2A16">
        <w:tc>
          <w:tcPr>
            <w:tcW w:w="5000" w:type="pct"/>
            <w:gridSpan w:val="3"/>
            <w:shd w:val="clear" w:color="auto" w:fill="FDE9D9" w:themeFill="accent6" w:themeFillTint="33"/>
          </w:tcPr>
          <w:p w14:paraId="49460979" w14:textId="38B1606C" w:rsidR="009D76ED" w:rsidRDefault="00FF6FC1" w:rsidP="00D73131">
            <w:pPr>
              <w:pStyle w:val="BodyText"/>
              <w:tabs>
                <w:tab w:val="left" w:pos="720"/>
                <w:tab w:val="left" w:pos="1440"/>
                <w:tab w:val="left" w:pos="2160"/>
                <w:tab w:val="left" w:pos="4665"/>
              </w:tabs>
              <w:ind w:right="138"/>
              <w:rPr>
                <w:rFonts w:ascii="Arial" w:hAnsi="Arial" w:cs="Arial"/>
                <w:sz w:val="20"/>
                <w:szCs w:val="20"/>
              </w:rPr>
            </w:pPr>
            <w:r>
              <w:rPr>
                <w:rFonts w:ascii="Arial" w:hAnsi="Arial" w:cs="Arial"/>
                <w:sz w:val="20"/>
                <w:szCs w:val="20"/>
              </w:rPr>
              <w:t xml:space="preserve">Commentaires d’ordre </w:t>
            </w:r>
            <w:r w:rsidR="009D76ED">
              <w:rPr>
                <w:rFonts w:ascii="Arial" w:hAnsi="Arial" w:cs="Arial"/>
                <w:sz w:val="20"/>
                <w:szCs w:val="20"/>
              </w:rPr>
              <w:t>general</w:t>
            </w:r>
          </w:p>
          <w:p w14:paraId="7F400E48" w14:textId="57FE13AF" w:rsidR="0043737B" w:rsidRPr="0043737B" w:rsidRDefault="0043737B" w:rsidP="00D73131">
            <w:pPr>
              <w:pStyle w:val="BodyText"/>
              <w:tabs>
                <w:tab w:val="left" w:pos="720"/>
                <w:tab w:val="left" w:pos="1440"/>
                <w:tab w:val="left" w:pos="2160"/>
                <w:tab w:val="left" w:pos="4665"/>
              </w:tabs>
              <w:ind w:right="138"/>
            </w:pPr>
            <w:r w:rsidRPr="0043737B">
              <w:rPr>
                <w:rFonts w:ascii="Arial" w:hAnsi="Arial" w:cs="Arial"/>
                <w:sz w:val="20"/>
                <w:szCs w:val="20"/>
              </w:rPr>
              <w:tab/>
            </w:r>
            <w:r>
              <w:rPr>
                <w:rFonts w:ascii="Arial" w:hAnsi="Arial" w:cs="Arial"/>
                <w:sz w:val="20"/>
                <w:szCs w:val="20"/>
              </w:rPr>
              <w:tab/>
            </w:r>
          </w:p>
        </w:tc>
      </w:tr>
      <w:tr w:rsidR="0043737B" w:rsidRPr="006D2A16" w14:paraId="5DCF8806" w14:textId="77777777" w:rsidTr="006D2A16">
        <w:trPr>
          <w:gridAfter w:val="1"/>
          <w:wAfter w:w="3" w:type="pct"/>
        </w:trPr>
        <w:tc>
          <w:tcPr>
            <w:tcW w:w="3293" w:type="pct"/>
          </w:tcPr>
          <w:p w14:paraId="2C970148" w14:textId="528F2F2C" w:rsidR="0043737B" w:rsidRPr="006D2A16" w:rsidRDefault="00FF6FC1" w:rsidP="00D73131">
            <w:pPr>
              <w:pStyle w:val="BodyText"/>
              <w:ind w:right="176"/>
              <w:rPr>
                <w:rFonts w:ascii="Arial" w:hAnsi="Arial" w:cs="Arial"/>
                <w:sz w:val="20"/>
                <w:szCs w:val="20"/>
                <w:lang w:val="fr-CA"/>
              </w:rPr>
            </w:pPr>
            <w:r w:rsidRPr="006D2A16">
              <w:rPr>
                <w:rFonts w:ascii="Arial" w:hAnsi="Arial" w:cs="Arial"/>
                <w:sz w:val="20"/>
                <w:szCs w:val="20"/>
                <w:lang w:val="fr-CA"/>
              </w:rPr>
              <w:t>Les intervenants appuient les révisions apportées au paragraphe</w:t>
            </w:r>
            <w:r w:rsidR="00EE1F35" w:rsidRPr="006D2A16">
              <w:rPr>
                <w:rFonts w:ascii="Arial" w:hAnsi="Arial" w:cs="Arial"/>
                <w:sz w:val="20"/>
                <w:szCs w:val="20"/>
                <w:lang w:val="fr-CA"/>
              </w:rPr>
              <w:t> </w:t>
            </w:r>
            <w:r w:rsidRPr="006D2A16">
              <w:rPr>
                <w:rFonts w:ascii="Arial" w:hAnsi="Arial" w:cs="Arial"/>
                <w:sz w:val="20"/>
                <w:szCs w:val="20"/>
                <w:lang w:val="fr-CA"/>
              </w:rPr>
              <w:t>3404(1) et à l’alinéa</w:t>
            </w:r>
            <w:r w:rsidR="00EE1F35" w:rsidRPr="006D2A16">
              <w:rPr>
                <w:rFonts w:ascii="Arial" w:hAnsi="Arial" w:cs="Arial"/>
                <w:sz w:val="20"/>
                <w:szCs w:val="20"/>
                <w:lang w:val="fr-CA"/>
              </w:rPr>
              <w:t> </w:t>
            </w:r>
            <w:r w:rsidRPr="006D2A16">
              <w:rPr>
                <w:rFonts w:ascii="Arial" w:hAnsi="Arial" w:cs="Arial"/>
                <w:sz w:val="20"/>
                <w:szCs w:val="20"/>
                <w:lang w:val="fr-CA"/>
              </w:rPr>
              <w:t>3955(1)(iii), qui précisent que les sociétés offrant des comptes sans conseils sont dispensées des obligations liées à la convenance (c.-à-d. en cas d’événement déclencheur associé ou non aux opérations de négociation).</w:t>
            </w:r>
          </w:p>
          <w:p w14:paraId="539EA297" w14:textId="77777777" w:rsidR="0043737B" w:rsidRPr="006D2A16" w:rsidRDefault="0043737B" w:rsidP="00D73131">
            <w:pPr>
              <w:pStyle w:val="BodyText"/>
              <w:ind w:left="107" w:right="197"/>
              <w:rPr>
                <w:rFonts w:ascii="Arial" w:hAnsi="Arial" w:cs="Arial"/>
                <w:sz w:val="20"/>
                <w:szCs w:val="20"/>
                <w:lang w:val="fr-CA"/>
              </w:rPr>
            </w:pPr>
          </w:p>
        </w:tc>
        <w:tc>
          <w:tcPr>
            <w:tcW w:w="1704" w:type="pct"/>
            <w:vMerge w:val="restart"/>
          </w:tcPr>
          <w:p w14:paraId="55E259A4" w14:textId="2A34C8A6" w:rsidR="0043737B" w:rsidRPr="006D2A16" w:rsidRDefault="00FF6FC1" w:rsidP="00D73131">
            <w:pPr>
              <w:pStyle w:val="BodyText"/>
              <w:rPr>
                <w:rFonts w:ascii="Arial" w:hAnsi="Arial" w:cs="Arial"/>
                <w:sz w:val="20"/>
                <w:szCs w:val="20"/>
                <w:lang w:val="fr-CA"/>
              </w:rPr>
            </w:pPr>
            <w:r w:rsidRPr="006D2A16">
              <w:rPr>
                <w:rFonts w:ascii="Arial" w:hAnsi="Arial" w:cs="Arial"/>
                <w:sz w:val="20"/>
                <w:szCs w:val="20"/>
                <w:lang w:val="fr-CA"/>
              </w:rPr>
              <w:t>Nous vous remercions pour vos commentaires.</w:t>
            </w:r>
          </w:p>
          <w:p w14:paraId="07D05167" w14:textId="77777777" w:rsidR="0043737B" w:rsidRPr="006D2A16" w:rsidRDefault="0043737B" w:rsidP="00D73131">
            <w:pPr>
              <w:pStyle w:val="BodyText"/>
              <w:ind w:left="107" w:right="138"/>
              <w:rPr>
                <w:rFonts w:ascii="Arial" w:hAnsi="Arial" w:cs="Arial"/>
                <w:sz w:val="20"/>
                <w:szCs w:val="20"/>
                <w:lang w:val="fr-CA"/>
              </w:rPr>
            </w:pPr>
          </w:p>
        </w:tc>
      </w:tr>
      <w:tr w:rsidR="0043737B" w:rsidRPr="006D2A16" w14:paraId="0E0F327C" w14:textId="77777777" w:rsidTr="006D2A16">
        <w:trPr>
          <w:gridAfter w:val="1"/>
          <w:wAfter w:w="3" w:type="pct"/>
        </w:trPr>
        <w:tc>
          <w:tcPr>
            <w:tcW w:w="3293" w:type="pct"/>
          </w:tcPr>
          <w:p w14:paraId="25DC09D5" w14:textId="48E9D3BA" w:rsidR="0043737B" w:rsidRPr="006D2A16" w:rsidRDefault="00FF6FC1" w:rsidP="00D73131">
            <w:pPr>
              <w:pStyle w:val="BodyText"/>
              <w:ind w:right="164"/>
              <w:rPr>
                <w:rFonts w:ascii="Arial" w:hAnsi="Arial" w:cs="Arial"/>
                <w:sz w:val="20"/>
                <w:szCs w:val="20"/>
                <w:lang w:val="fr-CA"/>
              </w:rPr>
            </w:pPr>
            <w:r w:rsidRPr="006D2A16">
              <w:rPr>
                <w:rFonts w:ascii="Arial" w:hAnsi="Arial" w:cs="Arial"/>
                <w:sz w:val="20"/>
                <w:szCs w:val="20"/>
                <w:lang w:val="fr-CA"/>
              </w:rPr>
              <w:t>Un intervenant est reconnaissant à l’OCRCVM d’avoir dispensé les sociétés offrant des comptes sans conseils et les courtiers chargés de comptes de l’obligation d’évaluer la pertinence du compte prévue à l’article</w:t>
            </w:r>
            <w:r w:rsidR="00EE1F35" w:rsidRPr="006D2A16">
              <w:rPr>
                <w:rFonts w:ascii="Arial" w:hAnsi="Arial" w:cs="Arial"/>
                <w:sz w:val="20"/>
                <w:szCs w:val="20"/>
                <w:lang w:val="fr-CA"/>
              </w:rPr>
              <w:t> </w:t>
            </w:r>
            <w:r w:rsidRPr="006D2A16">
              <w:rPr>
                <w:rFonts w:ascii="Arial" w:hAnsi="Arial" w:cs="Arial"/>
                <w:sz w:val="20"/>
                <w:szCs w:val="20"/>
                <w:lang w:val="fr-CA"/>
              </w:rPr>
              <w:t>3211.</w:t>
            </w:r>
          </w:p>
          <w:p w14:paraId="064B8088" w14:textId="77777777" w:rsidR="0043737B" w:rsidRPr="006D2A16" w:rsidRDefault="0043737B" w:rsidP="00D73131">
            <w:pPr>
              <w:pStyle w:val="BodyText"/>
              <w:ind w:left="107" w:right="197"/>
              <w:rPr>
                <w:rFonts w:ascii="Arial" w:hAnsi="Arial" w:cs="Arial"/>
                <w:sz w:val="20"/>
                <w:szCs w:val="20"/>
                <w:lang w:val="fr-CA"/>
              </w:rPr>
            </w:pPr>
          </w:p>
        </w:tc>
        <w:tc>
          <w:tcPr>
            <w:tcW w:w="1704" w:type="pct"/>
            <w:vMerge/>
            <w:tcBorders>
              <w:bottom w:val="single" w:sz="4" w:space="0" w:color="auto"/>
            </w:tcBorders>
          </w:tcPr>
          <w:p w14:paraId="198E95A2" w14:textId="77777777" w:rsidR="0043737B" w:rsidRPr="006D2A16" w:rsidRDefault="0043737B" w:rsidP="00D73131">
            <w:pPr>
              <w:pStyle w:val="BodyText"/>
              <w:ind w:left="107" w:right="138"/>
              <w:rPr>
                <w:rFonts w:ascii="Arial" w:hAnsi="Arial" w:cs="Arial"/>
                <w:sz w:val="20"/>
                <w:szCs w:val="20"/>
                <w:lang w:val="fr-CA"/>
              </w:rPr>
            </w:pPr>
          </w:p>
        </w:tc>
      </w:tr>
      <w:tr w:rsidR="0043737B" w:rsidRPr="006D2A16" w14:paraId="53AEE351" w14:textId="77777777" w:rsidTr="006D2A16">
        <w:trPr>
          <w:gridAfter w:val="1"/>
          <w:wAfter w:w="3" w:type="pct"/>
        </w:trPr>
        <w:tc>
          <w:tcPr>
            <w:tcW w:w="3293" w:type="pct"/>
          </w:tcPr>
          <w:p w14:paraId="6CCED08D" w14:textId="1E59809C" w:rsidR="0043737B" w:rsidRPr="006D2A16" w:rsidRDefault="00FF6FC1" w:rsidP="00D73131">
            <w:pPr>
              <w:pStyle w:val="BodyText"/>
              <w:ind w:right="197"/>
              <w:rPr>
                <w:rFonts w:ascii="Arial" w:hAnsi="Arial" w:cs="Arial"/>
                <w:sz w:val="20"/>
                <w:szCs w:val="20"/>
                <w:lang w:val="fr-CA"/>
              </w:rPr>
            </w:pPr>
            <w:r w:rsidRPr="006D2A16">
              <w:rPr>
                <w:rFonts w:ascii="Arial" w:hAnsi="Arial" w:cs="Arial"/>
                <w:sz w:val="20"/>
                <w:szCs w:val="20"/>
                <w:lang w:val="fr-CA"/>
              </w:rPr>
              <w:t>En ce qui concerne le récent projet de modification du paragraphe</w:t>
            </w:r>
            <w:r w:rsidR="00EE1F35" w:rsidRPr="006D2A16">
              <w:rPr>
                <w:rFonts w:ascii="Arial" w:hAnsi="Arial" w:cs="Arial"/>
                <w:sz w:val="20"/>
                <w:szCs w:val="20"/>
                <w:lang w:val="fr-CA"/>
              </w:rPr>
              <w:t> </w:t>
            </w:r>
            <w:r w:rsidRPr="006D2A16">
              <w:rPr>
                <w:rFonts w:ascii="Arial" w:hAnsi="Arial" w:cs="Arial"/>
                <w:sz w:val="20"/>
                <w:szCs w:val="20"/>
                <w:lang w:val="fr-CA"/>
              </w:rPr>
              <w:t>3214(2) et des alinéas</w:t>
            </w:r>
            <w:r w:rsidR="00EE1F35" w:rsidRPr="006D2A16">
              <w:rPr>
                <w:rFonts w:ascii="Arial" w:hAnsi="Arial" w:cs="Arial"/>
                <w:sz w:val="20"/>
                <w:szCs w:val="20"/>
                <w:lang w:val="fr-CA"/>
              </w:rPr>
              <w:t> </w:t>
            </w:r>
            <w:r w:rsidRPr="006D2A16">
              <w:rPr>
                <w:rFonts w:ascii="Arial" w:hAnsi="Arial" w:cs="Arial"/>
                <w:sz w:val="20"/>
                <w:szCs w:val="20"/>
                <w:lang w:val="fr-CA"/>
              </w:rPr>
              <w:t>3217(2)(i) [Document d’information sur le risque associé à l’effet de levier] et 3402(1)(iii) [Obligations liées à la convenance dans le cas de clients de détail], certains intervenants demandent une période transitoire d’un an (à compter de la publication de la version définitive de la règle), car ces modifications de règle les obligeront à modifier leurs systèmes et processus internes.</w:t>
            </w:r>
          </w:p>
          <w:p w14:paraId="07DCAE73" w14:textId="77777777" w:rsidR="0043737B" w:rsidRPr="006D2A16" w:rsidRDefault="0043737B" w:rsidP="00D73131">
            <w:pPr>
              <w:pStyle w:val="BodyText"/>
              <w:ind w:left="107" w:right="197"/>
              <w:rPr>
                <w:rFonts w:ascii="Arial" w:hAnsi="Arial" w:cs="Arial"/>
                <w:sz w:val="20"/>
                <w:szCs w:val="20"/>
                <w:lang w:val="fr-CA"/>
              </w:rPr>
            </w:pPr>
          </w:p>
        </w:tc>
        <w:tc>
          <w:tcPr>
            <w:tcW w:w="1704" w:type="pct"/>
            <w:tcBorders>
              <w:bottom w:val="single" w:sz="4" w:space="0" w:color="auto"/>
            </w:tcBorders>
          </w:tcPr>
          <w:p w14:paraId="381D360A" w14:textId="565DD34D" w:rsidR="0043737B" w:rsidRPr="006D2A16" w:rsidRDefault="00FF6FC1" w:rsidP="00A1651A">
            <w:pPr>
              <w:pStyle w:val="BodyText"/>
              <w:spacing w:line="276" w:lineRule="auto"/>
              <w:ind w:left="107" w:right="263"/>
              <w:rPr>
                <w:rFonts w:ascii="Arial" w:hAnsi="Arial" w:cs="Arial"/>
                <w:sz w:val="20"/>
                <w:szCs w:val="20"/>
                <w:lang w:val="fr-CA"/>
              </w:rPr>
            </w:pPr>
            <w:r w:rsidRPr="006D2A16">
              <w:rPr>
                <w:rFonts w:ascii="Arial" w:hAnsi="Arial" w:cs="Arial"/>
                <w:sz w:val="20"/>
                <w:szCs w:val="20"/>
                <w:lang w:val="fr-CA"/>
              </w:rPr>
              <w:t>Nous vous remercions pour vos commentaires.</w:t>
            </w:r>
          </w:p>
        </w:tc>
      </w:tr>
      <w:tr w:rsidR="0043737B" w:rsidRPr="006D2A16" w14:paraId="5552671E" w14:textId="77777777" w:rsidTr="006D2A16">
        <w:tc>
          <w:tcPr>
            <w:tcW w:w="5000" w:type="pct"/>
            <w:gridSpan w:val="3"/>
            <w:shd w:val="clear" w:color="auto" w:fill="FDE9D9" w:themeFill="accent6" w:themeFillTint="33"/>
          </w:tcPr>
          <w:p w14:paraId="04A9654A" w14:textId="77777777" w:rsidR="009D76ED" w:rsidRDefault="00F804F6" w:rsidP="00D73131">
            <w:pPr>
              <w:pStyle w:val="BodyText"/>
              <w:tabs>
                <w:tab w:val="left" w:pos="8940"/>
              </w:tabs>
              <w:rPr>
                <w:rFonts w:ascii="Arial" w:hAnsi="Arial" w:cs="Arial"/>
                <w:sz w:val="20"/>
                <w:szCs w:val="20"/>
                <w:lang w:val="fr-CA"/>
              </w:rPr>
            </w:pPr>
            <w:r w:rsidRPr="006D2A16">
              <w:rPr>
                <w:rFonts w:ascii="Arial" w:hAnsi="Arial" w:cs="Arial"/>
                <w:sz w:val="20"/>
                <w:szCs w:val="20"/>
                <w:u w:val="single"/>
                <w:lang w:val="fr-CA"/>
              </w:rPr>
              <w:t>Article</w:t>
            </w:r>
            <w:r w:rsidR="00EE1F35" w:rsidRPr="006D2A16">
              <w:rPr>
                <w:rFonts w:ascii="Arial" w:hAnsi="Arial" w:cs="Arial"/>
                <w:sz w:val="20"/>
                <w:szCs w:val="20"/>
                <w:u w:val="single"/>
                <w:lang w:val="fr-CA"/>
              </w:rPr>
              <w:t> </w:t>
            </w:r>
            <w:r w:rsidRPr="006D2A16">
              <w:rPr>
                <w:rFonts w:ascii="Arial" w:hAnsi="Arial" w:cs="Arial"/>
                <w:sz w:val="20"/>
                <w:szCs w:val="20"/>
                <w:u w:val="single"/>
                <w:lang w:val="fr-CA"/>
              </w:rPr>
              <w:t>3202</w:t>
            </w:r>
            <w:r w:rsidR="00FF6FC1" w:rsidRPr="006D2A16">
              <w:rPr>
                <w:rFonts w:ascii="Arial" w:hAnsi="Arial" w:cs="Arial"/>
                <w:sz w:val="20"/>
                <w:szCs w:val="20"/>
                <w:lang w:val="fr-CA"/>
              </w:rPr>
              <w:t xml:space="preserve"> – Exigences liées à l’identification et à la vérification – Identification de tous les nouveaux clients</w:t>
            </w:r>
          </w:p>
          <w:p w14:paraId="542CCA1C" w14:textId="328A74A3" w:rsidR="0043737B" w:rsidRPr="006D2A16" w:rsidRDefault="0043737B" w:rsidP="00D73131">
            <w:pPr>
              <w:pStyle w:val="BodyText"/>
              <w:tabs>
                <w:tab w:val="left" w:pos="8940"/>
              </w:tabs>
              <w:rPr>
                <w:rFonts w:ascii="Arial" w:hAnsi="Arial" w:cs="Arial"/>
                <w:sz w:val="20"/>
                <w:szCs w:val="20"/>
                <w:lang w:val="fr-CA"/>
              </w:rPr>
            </w:pPr>
            <w:r w:rsidRPr="006D2A16">
              <w:rPr>
                <w:rFonts w:ascii="Arial" w:hAnsi="Arial" w:cs="Arial"/>
                <w:sz w:val="20"/>
                <w:szCs w:val="20"/>
                <w:lang w:val="fr-CA"/>
              </w:rPr>
              <w:tab/>
            </w:r>
          </w:p>
        </w:tc>
      </w:tr>
      <w:tr w:rsidR="0043737B" w:rsidRPr="006D2A16" w14:paraId="05E8F198" w14:textId="77777777" w:rsidTr="006D2A16">
        <w:trPr>
          <w:gridAfter w:val="1"/>
          <w:wAfter w:w="3" w:type="pct"/>
        </w:trPr>
        <w:tc>
          <w:tcPr>
            <w:tcW w:w="3293" w:type="pct"/>
          </w:tcPr>
          <w:p w14:paraId="640BA649" w14:textId="75623365" w:rsidR="0043737B" w:rsidRPr="006D2A16" w:rsidRDefault="00FF6FC1" w:rsidP="00D73131">
            <w:pPr>
              <w:pStyle w:val="BodyText"/>
              <w:ind w:right="108"/>
              <w:rPr>
                <w:rFonts w:ascii="Arial" w:hAnsi="Arial" w:cs="Arial"/>
                <w:sz w:val="20"/>
                <w:szCs w:val="20"/>
                <w:lang w:val="fr-CA"/>
              </w:rPr>
            </w:pPr>
            <w:r w:rsidRPr="006D2A16">
              <w:rPr>
                <w:rFonts w:ascii="Arial" w:hAnsi="Arial" w:cs="Arial"/>
                <w:sz w:val="20"/>
                <w:szCs w:val="20"/>
                <w:lang w:val="fr-CA"/>
              </w:rPr>
              <w:t>Un intervenant souligne que dans l’Avis</w:t>
            </w:r>
            <w:r w:rsidR="00EE1F35" w:rsidRPr="006D2A16">
              <w:rPr>
                <w:rFonts w:ascii="Arial" w:hAnsi="Arial" w:cs="Arial"/>
                <w:sz w:val="20"/>
                <w:szCs w:val="20"/>
                <w:lang w:val="fr-CA"/>
              </w:rPr>
              <w:t> </w:t>
            </w:r>
            <w:r w:rsidRPr="006D2A16">
              <w:rPr>
                <w:rFonts w:ascii="Arial" w:hAnsi="Arial" w:cs="Arial"/>
                <w:sz w:val="20"/>
                <w:szCs w:val="20"/>
                <w:lang w:val="fr-CA"/>
              </w:rPr>
              <w:t>17-0054, le paragraphe</w:t>
            </w:r>
            <w:r w:rsidR="00EE1F35" w:rsidRPr="006D2A16">
              <w:rPr>
                <w:rFonts w:ascii="Arial" w:hAnsi="Arial" w:cs="Arial"/>
                <w:sz w:val="20"/>
                <w:szCs w:val="20"/>
                <w:lang w:val="fr-CA"/>
              </w:rPr>
              <w:t> </w:t>
            </w:r>
            <w:r w:rsidRPr="006D2A16">
              <w:rPr>
                <w:rFonts w:ascii="Arial" w:hAnsi="Arial" w:cs="Arial"/>
                <w:sz w:val="20"/>
                <w:szCs w:val="20"/>
                <w:lang w:val="fr-CA"/>
              </w:rPr>
              <w:t>3202(2) exige que le courtier membre remplisse une demande d’ouverture de compte pour « chaque nouveau compte », alors que l’alinéa A.1 de la partie</w:t>
            </w:r>
            <w:r w:rsidR="00EE1F35" w:rsidRPr="006D2A16">
              <w:rPr>
                <w:rFonts w:ascii="Arial" w:hAnsi="Arial" w:cs="Arial"/>
                <w:sz w:val="20"/>
                <w:szCs w:val="20"/>
                <w:lang w:val="fr-CA"/>
              </w:rPr>
              <w:t> </w:t>
            </w:r>
            <w:r w:rsidRPr="006D2A16">
              <w:rPr>
                <w:rFonts w:ascii="Arial" w:hAnsi="Arial" w:cs="Arial"/>
                <w:sz w:val="20"/>
                <w:szCs w:val="20"/>
                <w:lang w:val="fr-CA"/>
              </w:rPr>
              <w:t>II de la Règle</w:t>
            </w:r>
            <w:r w:rsidR="00EE1F35" w:rsidRPr="006D2A16">
              <w:rPr>
                <w:rFonts w:ascii="Arial" w:hAnsi="Arial" w:cs="Arial"/>
                <w:sz w:val="20"/>
                <w:szCs w:val="20"/>
                <w:lang w:val="fr-CA"/>
              </w:rPr>
              <w:t> </w:t>
            </w:r>
            <w:r w:rsidRPr="006D2A16">
              <w:rPr>
                <w:rFonts w:ascii="Arial" w:hAnsi="Arial" w:cs="Arial"/>
                <w:sz w:val="20"/>
                <w:szCs w:val="20"/>
                <w:lang w:val="fr-CA"/>
              </w:rPr>
              <w:t>2500 des courtiers membres exige une demande d’ouverture de compte « pour chaque nouveau client ». L’intervenant recommande de modifier le paragraphe</w:t>
            </w:r>
            <w:r w:rsidR="00EE1F35" w:rsidRPr="006D2A16">
              <w:rPr>
                <w:rFonts w:ascii="Arial" w:hAnsi="Arial" w:cs="Arial"/>
                <w:sz w:val="20"/>
                <w:szCs w:val="20"/>
                <w:lang w:val="fr-CA"/>
              </w:rPr>
              <w:t> </w:t>
            </w:r>
            <w:r w:rsidRPr="006D2A16">
              <w:rPr>
                <w:rFonts w:ascii="Arial" w:hAnsi="Arial" w:cs="Arial"/>
                <w:sz w:val="20"/>
                <w:szCs w:val="20"/>
                <w:lang w:val="fr-CA"/>
              </w:rPr>
              <w:t>3202(2) en remplaçant l’expression « pour chaque nouveau compte » par l’expression « pour chaque nouveau client » pour l’harmoniser avec l’exigence actuelle et avec la Note d’orientation</w:t>
            </w:r>
            <w:r w:rsidR="00EE1F35" w:rsidRPr="006D2A16">
              <w:rPr>
                <w:rFonts w:ascii="Arial" w:hAnsi="Arial" w:cs="Arial"/>
                <w:sz w:val="20"/>
                <w:szCs w:val="20"/>
                <w:lang w:val="fr-CA"/>
              </w:rPr>
              <w:t> </w:t>
            </w:r>
            <w:r w:rsidRPr="006D2A16">
              <w:rPr>
                <w:rFonts w:ascii="Arial" w:hAnsi="Arial" w:cs="Arial"/>
                <w:sz w:val="20"/>
                <w:szCs w:val="20"/>
                <w:lang w:val="fr-CA"/>
              </w:rPr>
              <w:t>12-0109.</w:t>
            </w:r>
          </w:p>
          <w:p w14:paraId="51F59E5E" w14:textId="77777777" w:rsidR="0043737B" w:rsidRPr="006D2A16" w:rsidRDefault="0043737B" w:rsidP="00D73131">
            <w:pPr>
              <w:pStyle w:val="BodyText"/>
              <w:ind w:left="107" w:right="197"/>
              <w:rPr>
                <w:rFonts w:ascii="Arial" w:hAnsi="Arial" w:cs="Arial"/>
                <w:sz w:val="20"/>
                <w:szCs w:val="20"/>
                <w:lang w:val="fr-CA"/>
              </w:rPr>
            </w:pPr>
          </w:p>
        </w:tc>
        <w:tc>
          <w:tcPr>
            <w:tcW w:w="1704" w:type="pct"/>
            <w:tcBorders>
              <w:bottom w:val="single" w:sz="4" w:space="0" w:color="auto"/>
            </w:tcBorders>
          </w:tcPr>
          <w:p w14:paraId="5C131E18" w14:textId="07FC5F7D" w:rsidR="0043737B" w:rsidRPr="006D2A16" w:rsidRDefault="00FF6FC1" w:rsidP="00D73131">
            <w:pPr>
              <w:pStyle w:val="BodyText"/>
              <w:ind w:right="152"/>
              <w:rPr>
                <w:rFonts w:ascii="Arial" w:hAnsi="Arial" w:cs="Arial"/>
                <w:sz w:val="20"/>
                <w:szCs w:val="20"/>
                <w:lang w:val="fr-CA"/>
              </w:rPr>
            </w:pPr>
            <w:r w:rsidRPr="006D2A16">
              <w:rPr>
                <w:rFonts w:ascii="Arial" w:hAnsi="Arial" w:cs="Arial"/>
                <w:sz w:val="20"/>
                <w:szCs w:val="20"/>
                <w:lang w:val="fr-CA"/>
              </w:rPr>
              <w:t>Nous sommes d’accord avec ce commentaire. Nous avons publié un projet de modification de cette disposi</w:t>
            </w:r>
            <w:r w:rsidR="00535F12" w:rsidRPr="006D2A16">
              <w:rPr>
                <w:rFonts w:ascii="Arial" w:hAnsi="Arial" w:cs="Arial"/>
                <w:sz w:val="20"/>
                <w:szCs w:val="20"/>
                <w:lang w:val="fr-CA"/>
              </w:rPr>
              <w:t>tion dans le cadre de l’</w:t>
            </w:r>
            <w:hyperlink r:id="rId10" w:history="1">
              <w:r w:rsidR="00535F12" w:rsidRPr="006D2A16">
                <w:rPr>
                  <w:rStyle w:val="Hyperlink"/>
                  <w:rFonts w:ascii="Arial" w:hAnsi="Arial" w:cs="Arial"/>
                  <w:sz w:val="20"/>
                  <w:szCs w:val="20"/>
                  <w:lang w:val="fr-CA"/>
                </w:rPr>
                <w:t>Avis</w:t>
              </w:r>
              <w:r w:rsidR="00EE1F35" w:rsidRPr="006D2A16">
                <w:rPr>
                  <w:rStyle w:val="Hyperlink"/>
                  <w:rFonts w:ascii="Arial" w:hAnsi="Arial" w:cs="Arial"/>
                  <w:sz w:val="20"/>
                  <w:szCs w:val="20"/>
                  <w:lang w:val="fr-CA"/>
                </w:rPr>
                <w:t> </w:t>
              </w:r>
              <w:r w:rsidR="00535F12" w:rsidRPr="006D2A16">
                <w:rPr>
                  <w:rStyle w:val="Hyperlink"/>
                  <w:rFonts w:ascii="Arial" w:hAnsi="Arial" w:cs="Arial"/>
                  <w:sz w:val="20"/>
                  <w:szCs w:val="20"/>
                  <w:lang w:val="fr-CA"/>
                </w:rPr>
                <w:t>18</w:t>
              </w:r>
              <w:r w:rsidR="00535F12" w:rsidRPr="006D2A16">
                <w:rPr>
                  <w:rStyle w:val="Hyperlink"/>
                  <w:rFonts w:ascii="Arial" w:hAnsi="Arial" w:cs="Arial"/>
                  <w:sz w:val="20"/>
                  <w:szCs w:val="20"/>
                  <w:lang w:val="fr-CA"/>
                </w:rPr>
                <w:noBreakHyphen/>
              </w:r>
              <w:r w:rsidRPr="006D2A16">
                <w:rPr>
                  <w:rStyle w:val="Hyperlink"/>
                  <w:rFonts w:ascii="Arial" w:hAnsi="Arial" w:cs="Arial"/>
                  <w:sz w:val="20"/>
                  <w:szCs w:val="20"/>
                  <w:lang w:val="fr-CA"/>
                </w:rPr>
                <w:t>0079</w:t>
              </w:r>
            </w:hyperlink>
            <w:r w:rsidRPr="006D2A16">
              <w:rPr>
                <w:rFonts w:ascii="Arial" w:hAnsi="Arial" w:cs="Arial"/>
                <w:sz w:val="20"/>
                <w:szCs w:val="20"/>
                <w:lang w:val="fr-CA"/>
              </w:rPr>
              <w:t xml:space="preserve">, qui sera intégré dans le </w:t>
            </w:r>
            <w:r w:rsidR="009C3297" w:rsidRPr="006D2A16">
              <w:rPr>
                <w:rFonts w:ascii="Arial" w:hAnsi="Arial" w:cs="Arial"/>
                <w:sz w:val="20"/>
                <w:szCs w:val="20"/>
                <w:lang w:val="fr-CA"/>
              </w:rPr>
              <w:t xml:space="preserve">Manuel de réglementation </w:t>
            </w:r>
            <w:r w:rsidR="00EB1205" w:rsidRPr="006D2A16">
              <w:rPr>
                <w:rFonts w:ascii="Arial" w:hAnsi="Arial" w:cs="Arial"/>
                <w:sz w:val="20"/>
                <w:szCs w:val="20"/>
                <w:lang w:val="fr-CA"/>
              </w:rPr>
              <w:t>RLS</w:t>
            </w:r>
            <w:r w:rsidRPr="006D2A16">
              <w:rPr>
                <w:rFonts w:ascii="Arial" w:hAnsi="Arial" w:cs="Arial"/>
                <w:sz w:val="20"/>
                <w:szCs w:val="20"/>
                <w:lang w:val="fr-CA"/>
              </w:rPr>
              <w:t xml:space="preserve"> après que les modifications auront été approuvées.</w:t>
            </w:r>
          </w:p>
          <w:p w14:paraId="467355E7" w14:textId="77777777" w:rsidR="0043737B" w:rsidRDefault="0043737B" w:rsidP="00D73131">
            <w:pPr>
              <w:pStyle w:val="BodyText"/>
              <w:ind w:left="107" w:right="138"/>
              <w:rPr>
                <w:rFonts w:ascii="Arial" w:hAnsi="Arial" w:cs="Arial"/>
                <w:sz w:val="20"/>
                <w:szCs w:val="20"/>
                <w:lang w:val="fr-CA"/>
              </w:rPr>
            </w:pPr>
          </w:p>
          <w:p w14:paraId="3F93DAA3" w14:textId="77777777" w:rsidR="009D76ED" w:rsidRDefault="009D76ED" w:rsidP="00D73131">
            <w:pPr>
              <w:pStyle w:val="BodyText"/>
              <w:ind w:left="107" w:right="138"/>
              <w:rPr>
                <w:rFonts w:ascii="Arial" w:hAnsi="Arial" w:cs="Arial"/>
                <w:sz w:val="20"/>
                <w:szCs w:val="20"/>
                <w:lang w:val="fr-CA"/>
              </w:rPr>
            </w:pPr>
          </w:p>
          <w:p w14:paraId="71DA60D4" w14:textId="77777777" w:rsidR="009D76ED" w:rsidRDefault="009D76ED" w:rsidP="00D73131">
            <w:pPr>
              <w:pStyle w:val="BodyText"/>
              <w:ind w:left="107" w:right="138"/>
              <w:rPr>
                <w:rFonts w:ascii="Arial" w:hAnsi="Arial" w:cs="Arial"/>
                <w:sz w:val="20"/>
                <w:szCs w:val="20"/>
                <w:lang w:val="fr-CA"/>
              </w:rPr>
            </w:pPr>
          </w:p>
          <w:p w14:paraId="1E7B5BE6" w14:textId="77777777" w:rsidR="009D76ED" w:rsidRDefault="009D76ED" w:rsidP="00D73131">
            <w:pPr>
              <w:pStyle w:val="BodyText"/>
              <w:ind w:left="107" w:right="138"/>
              <w:rPr>
                <w:rFonts w:ascii="Arial" w:hAnsi="Arial" w:cs="Arial"/>
                <w:sz w:val="20"/>
                <w:szCs w:val="20"/>
                <w:lang w:val="fr-CA"/>
              </w:rPr>
            </w:pPr>
          </w:p>
          <w:p w14:paraId="56C95C5B" w14:textId="7BAC5D11" w:rsidR="009D76ED" w:rsidRPr="006D2A16" w:rsidRDefault="009D76ED" w:rsidP="00D73131">
            <w:pPr>
              <w:pStyle w:val="BodyText"/>
              <w:ind w:left="107" w:right="138"/>
              <w:rPr>
                <w:rFonts w:ascii="Arial" w:hAnsi="Arial" w:cs="Arial"/>
                <w:sz w:val="20"/>
                <w:szCs w:val="20"/>
                <w:lang w:val="fr-CA"/>
              </w:rPr>
            </w:pPr>
          </w:p>
        </w:tc>
      </w:tr>
      <w:tr w:rsidR="0043737B" w:rsidRPr="006D2A16" w14:paraId="65B22817" w14:textId="77777777" w:rsidTr="006D2A16">
        <w:tc>
          <w:tcPr>
            <w:tcW w:w="5000" w:type="pct"/>
            <w:gridSpan w:val="3"/>
            <w:shd w:val="clear" w:color="auto" w:fill="FDE9D9" w:themeFill="accent6" w:themeFillTint="33"/>
          </w:tcPr>
          <w:p w14:paraId="7B37EDC3" w14:textId="77777777" w:rsidR="009D76ED" w:rsidRDefault="00F804F6" w:rsidP="00D73131">
            <w:pPr>
              <w:pStyle w:val="BodyText"/>
              <w:tabs>
                <w:tab w:val="left" w:pos="8430"/>
              </w:tabs>
              <w:rPr>
                <w:rFonts w:ascii="Arial" w:hAnsi="Arial" w:cs="Arial"/>
                <w:sz w:val="20"/>
                <w:lang w:val="fr-CA"/>
              </w:rPr>
            </w:pPr>
            <w:r w:rsidRPr="006D2A16">
              <w:rPr>
                <w:rFonts w:ascii="Arial" w:hAnsi="Arial" w:cs="Arial"/>
                <w:sz w:val="20"/>
                <w:u w:val="single"/>
                <w:lang w:val="fr-CA"/>
              </w:rPr>
              <w:t>Article</w:t>
            </w:r>
            <w:r w:rsidR="00EE1F35" w:rsidRPr="006D2A16">
              <w:rPr>
                <w:rFonts w:ascii="Arial" w:hAnsi="Arial" w:cs="Arial"/>
                <w:sz w:val="20"/>
                <w:u w:val="single"/>
                <w:lang w:val="fr-CA"/>
              </w:rPr>
              <w:t> </w:t>
            </w:r>
            <w:r w:rsidRPr="006D2A16">
              <w:rPr>
                <w:rFonts w:ascii="Arial" w:hAnsi="Arial" w:cs="Arial"/>
                <w:sz w:val="20"/>
                <w:u w:val="single"/>
                <w:lang w:val="fr-CA"/>
              </w:rPr>
              <w:t>3211</w:t>
            </w:r>
            <w:r w:rsidR="00FF6FC1" w:rsidRPr="006D2A16">
              <w:rPr>
                <w:rFonts w:ascii="Arial" w:hAnsi="Arial" w:cs="Arial"/>
                <w:sz w:val="20"/>
                <w:lang w:val="fr-CA"/>
              </w:rPr>
              <w:t xml:space="preserve"> – Exigences associées aux comptes de clients – Pertinence du compte</w:t>
            </w:r>
          </w:p>
          <w:p w14:paraId="1182E5AF" w14:textId="072A4223" w:rsidR="0043737B" w:rsidRPr="006D2A16" w:rsidRDefault="0043737B" w:rsidP="00D73131">
            <w:pPr>
              <w:pStyle w:val="BodyText"/>
              <w:tabs>
                <w:tab w:val="left" w:pos="8430"/>
              </w:tabs>
              <w:rPr>
                <w:rFonts w:ascii="Arial" w:hAnsi="Arial" w:cs="Arial"/>
                <w:lang w:val="fr-CA"/>
              </w:rPr>
            </w:pPr>
            <w:r w:rsidRPr="006D2A16">
              <w:rPr>
                <w:rFonts w:ascii="Arial" w:hAnsi="Arial" w:cs="Arial"/>
                <w:sz w:val="20"/>
                <w:lang w:val="fr-CA"/>
              </w:rPr>
              <w:tab/>
            </w:r>
          </w:p>
        </w:tc>
      </w:tr>
      <w:tr w:rsidR="0043737B" w:rsidRPr="006D2A16" w14:paraId="131E61A2" w14:textId="77777777" w:rsidTr="006D2A16">
        <w:trPr>
          <w:gridAfter w:val="1"/>
          <w:wAfter w:w="3" w:type="pct"/>
        </w:trPr>
        <w:tc>
          <w:tcPr>
            <w:tcW w:w="3293" w:type="pct"/>
          </w:tcPr>
          <w:p w14:paraId="4535C156" w14:textId="17B2379B" w:rsidR="0043737B" w:rsidRPr="006D2A16" w:rsidRDefault="00FF6FC1" w:rsidP="00D73131">
            <w:pPr>
              <w:pStyle w:val="BodyText"/>
              <w:ind w:right="96"/>
              <w:rPr>
                <w:rFonts w:ascii="Arial" w:hAnsi="Arial" w:cs="Arial"/>
                <w:sz w:val="20"/>
                <w:szCs w:val="20"/>
                <w:lang w:val="fr-CA"/>
              </w:rPr>
            </w:pPr>
            <w:r w:rsidRPr="006D2A16">
              <w:rPr>
                <w:rFonts w:ascii="Arial" w:hAnsi="Arial" w:cs="Arial"/>
                <w:sz w:val="20"/>
                <w:szCs w:val="20"/>
                <w:lang w:val="fr-CA"/>
              </w:rPr>
              <w:t>Les intervenants demandent des orientations supplémentaires sur la portée de l’obligation liée à la pertinence et les attentes concernant les documents attestant la pertinence du compte. Étant donné que le projet de règle ne codifie pas mot pour mot les orientations actuelles, il existe une incertitude concernant son application, et les documents permettant d’attester la conformité pourraient être différents maintenant que la pertinence du compte fait l’objet d’une règle.</w:t>
            </w:r>
          </w:p>
          <w:p w14:paraId="1876C527" w14:textId="77777777" w:rsidR="0043737B" w:rsidRPr="006D2A16" w:rsidRDefault="0043737B" w:rsidP="00D73131">
            <w:pPr>
              <w:pStyle w:val="BodyText"/>
              <w:ind w:left="107" w:right="197"/>
              <w:rPr>
                <w:rFonts w:ascii="Arial" w:hAnsi="Arial" w:cs="Arial"/>
                <w:sz w:val="20"/>
                <w:szCs w:val="20"/>
                <w:lang w:val="fr-CA"/>
              </w:rPr>
            </w:pPr>
          </w:p>
        </w:tc>
        <w:tc>
          <w:tcPr>
            <w:tcW w:w="1704" w:type="pct"/>
          </w:tcPr>
          <w:p w14:paraId="4F4E0FBE" w14:textId="0373ED49" w:rsidR="00FF6FC1" w:rsidRPr="006D2A16" w:rsidRDefault="00FF6FC1" w:rsidP="00FF6FC1">
            <w:pPr>
              <w:pStyle w:val="BodyText"/>
              <w:ind w:right="430"/>
              <w:rPr>
                <w:rFonts w:ascii="Arial" w:hAnsi="Arial" w:cs="Arial"/>
                <w:spacing w:val="1"/>
                <w:sz w:val="20"/>
                <w:szCs w:val="20"/>
                <w:lang w:val="fr-CA"/>
              </w:rPr>
            </w:pPr>
            <w:r w:rsidRPr="006D2A16">
              <w:rPr>
                <w:rFonts w:ascii="Arial" w:hAnsi="Arial" w:cs="Arial"/>
                <w:spacing w:val="1"/>
                <w:sz w:val="20"/>
                <w:szCs w:val="20"/>
                <w:lang w:val="fr-CA"/>
              </w:rPr>
              <w:t>Nous examinerons si des orientations sur la pertinence du compte sont nécessaires dans le cadre de notre examen continu et des consultations menées auprès des Autorités canadiennes en valeurs mobilières (ACVM) sur les réformes axées sur le client. En ce qui concerne la tenue de la documentation, nous nous attendons à ce que courtiers membres conservent la documentation et les preuves de leur conformité avec les exigences de l’OCRC</w:t>
            </w:r>
            <w:r w:rsidR="00535F12" w:rsidRPr="006D2A16">
              <w:rPr>
                <w:rFonts w:ascii="Arial" w:hAnsi="Arial" w:cs="Arial"/>
                <w:spacing w:val="1"/>
                <w:sz w:val="20"/>
                <w:szCs w:val="20"/>
                <w:lang w:val="fr-CA"/>
              </w:rPr>
              <w:t>VM, comme l’exige le paragraphe </w:t>
            </w:r>
            <w:r w:rsidRPr="006D2A16">
              <w:rPr>
                <w:rFonts w:ascii="Arial" w:hAnsi="Arial" w:cs="Arial"/>
                <w:spacing w:val="1"/>
                <w:sz w:val="20"/>
                <w:szCs w:val="20"/>
                <w:lang w:val="fr-CA"/>
              </w:rPr>
              <w:t>1405(2).</w:t>
            </w:r>
          </w:p>
          <w:p w14:paraId="0F1BE302" w14:textId="77777777" w:rsidR="00FF6FC1" w:rsidRPr="006D2A16" w:rsidRDefault="00FF6FC1" w:rsidP="00FF6FC1">
            <w:pPr>
              <w:pStyle w:val="BodyText"/>
              <w:ind w:right="430"/>
              <w:rPr>
                <w:rFonts w:ascii="Arial" w:hAnsi="Arial" w:cs="Arial"/>
                <w:spacing w:val="1"/>
                <w:sz w:val="20"/>
                <w:szCs w:val="20"/>
                <w:lang w:val="fr-CA"/>
              </w:rPr>
            </w:pPr>
            <w:r w:rsidRPr="006D2A16">
              <w:rPr>
                <w:rFonts w:ascii="Arial" w:hAnsi="Arial" w:cs="Arial"/>
                <w:spacing w:val="1"/>
                <w:sz w:val="20"/>
                <w:szCs w:val="20"/>
                <w:lang w:val="fr-CA"/>
              </w:rPr>
              <w:t>Par conséquent, nous attendons des courtiers membres qu’ils conservent la preuve documentaire de leur conformité avec les obligations liées à la pertinence du compte, comme ils le feraient pour toute autre exigence de l’OCRCVM.</w:t>
            </w:r>
          </w:p>
          <w:p w14:paraId="3CF34551" w14:textId="4E043413" w:rsidR="0043737B" w:rsidRPr="006D2A16" w:rsidRDefault="0043737B" w:rsidP="00FF6FC1">
            <w:pPr>
              <w:pStyle w:val="BodyText"/>
              <w:ind w:right="430"/>
              <w:rPr>
                <w:rFonts w:ascii="Arial" w:hAnsi="Arial" w:cs="Arial"/>
                <w:sz w:val="20"/>
                <w:szCs w:val="20"/>
                <w:lang w:val="fr-CA"/>
              </w:rPr>
            </w:pPr>
          </w:p>
          <w:p w14:paraId="1F762962" w14:textId="77777777" w:rsidR="0043737B" w:rsidRPr="006D2A16" w:rsidRDefault="0043737B" w:rsidP="00D73131">
            <w:pPr>
              <w:pStyle w:val="BodyText"/>
              <w:ind w:left="107" w:right="138"/>
              <w:rPr>
                <w:rFonts w:ascii="Arial" w:hAnsi="Arial" w:cs="Arial"/>
                <w:sz w:val="20"/>
                <w:szCs w:val="20"/>
                <w:lang w:val="fr-CA"/>
              </w:rPr>
            </w:pPr>
          </w:p>
        </w:tc>
      </w:tr>
      <w:tr w:rsidR="0043737B" w:rsidRPr="006D2A16" w14:paraId="0FA0F368" w14:textId="77777777" w:rsidTr="006D2A16">
        <w:trPr>
          <w:gridAfter w:val="1"/>
          <w:wAfter w:w="3" w:type="pct"/>
        </w:trPr>
        <w:tc>
          <w:tcPr>
            <w:tcW w:w="3293" w:type="pct"/>
          </w:tcPr>
          <w:p w14:paraId="2FCD1570" w14:textId="144A17D6" w:rsidR="00EE4EBA" w:rsidRPr="006D2A16" w:rsidRDefault="0053344F" w:rsidP="00D73131">
            <w:pPr>
              <w:pStyle w:val="BodyText"/>
              <w:ind w:right="230"/>
              <w:rPr>
                <w:rFonts w:ascii="Arial" w:hAnsi="Arial" w:cs="Arial"/>
                <w:sz w:val="20"/>
                <w:szCs w:val="20"/>
                <w:lang w:val="fr-CA"/>
              </w:rPr>
            </w:pPr>
            <w:r w:rsidRPr="006D2A16">
              <w:rPr>
                <w:rFonts w:ascii="Arial" w:hAnsi="Arial" w:cs="Arial"/>
                <w:sz w:val="20"/>
                <w:szCs w:val="20"/>
                <w:lang w:val="fr-CA"/>
              </w:rPr>
              <w:t>Les intervenants recommandent que les sociétés offrant des comptes sans conseils soient dispensées des alinéas</w:t>
            </w:r>
            <w:r w:rsidR="00EE1F35" w:rsidRPr="006D2A16">
              <w:rPr>
                <w:rFonts w:ascii="Arial" w:hAnsi="Arial" w:cs="Arial"/>
                <w:sz w:val="20"/>
                <w:szCs w:val="20"/>
                <w:lang w:val="fr-CA"/>
              </w:rPr>
              <w:t> </w:t>
            </w:r>
            <w:r w:rsidRPr="006D2A16">
              <w:rPr>
                <w:rFonts w:ascii="Arial" w:hAnsi="Arial" w:cs="Arial"/>
                <w:sz w:val="20"/>
                <w:szCs w:val="20"/>
                <w:lang w:val="fr-CA"/>
              </w:rPr>
              <w:t>3211(1)(i) et (ii) puisque ces sociétés ne sont pas assujetties aux obligations d’évaluation de la convenance.</w:t>
            </w:r>
          </w:p>
          <w:p w14:paraId="2A9CAE92" w14:textId="77777777" w:rsidR="0043737B" w:rsidRPr="006D2A16" w:rsidRDefault="0043737B" w:rsidP="00D73131">
            <w:pPr>
              <w:pStyle w:val="BodyText"/>
              <w:ind w:left="107" w:right="197"/>
              <w:rPr>
                <w:rFonts w:ascii="Arial" w:hAnsi="Arial" w:cs="Arial"/>
                <w:sz w:val="20"/>
                <w:szCs w:val="20"/>
                <w:lang w:val="fr-CA"/>
              </w:rPr>
            </w:pPr>
          </w:p>
        </w:tc>
        <w:tc>
          <w:tcPr>
            <w:tcW w:w="1704" w:type="pct"/>
            <w:tcBorders>
              <w:bottom w:val="single" w:sz="4" w:space="0" w:color="auto"/>
            </w:tcBorders>
          </w:tcPr>
          <w:p w14:paraId="7FCC4CE4" w14:textId="77777777" w:rsidR="001F4FA6" w:rsidRPr="006D2A16" w:rsidRDefault="001F4FA6" w:rsidP="00D73131">
            <w:pPr>
              <w:pStyle w:val="BodyText"/>
              <w:ind w:right="253"/>
              <w:rPr>
                <w:rFonts w:ascii="Arial" w:hAnsi="Arial" w:cs="Arial"/>
                <w:sz w:val="20"/>
                <w:szCs w:val="20"/>
                <w:lang w:val="fr-CA"/>
              </w:rPr>
            </w:pPr>
            <w:r w:rsidRPr="006D2A16">
              <w:rPr>
                <w:rFonts w:ascii="Arial" w:hAnsi="Arial" w:cs="Arial"/>
                <w:sz w:val="20"/>
                <w:szCs w:val="20"/>
                <w:lang w:val="fr-CA"/>
              </w:rPr>
              <w:t>Nous ne sommes pas d’accord avec ce commentaire.</w:t>
            </w:r>
          </w:p>
          <w:p w14:paraId="43BD5C1D" w14:textId="4F25C783" w:rsidR="00EE4EBA" w:rsidRPr="006D2A16" w:rsidRDefault="001F4FA6" w:rsidP="00D73131">
            <w:pPr>
              <w:pStyle w:val="BodyText"/>
              <w:ind w:right="253"/>
              <w:rPr>
                <w:rFonts w:ascii="Arial" w:hAnsi="Arial" w:cs="Arial"/>
                <w:sz w:val="20"/>
                <w:szCs w:val="20"/>
                <w:lang w:val="fr-CA"/>
              </w:rPr>
            </w:pPr>
            <w:r w:rsidRPr="006D2A16">
              <w:rPr>
                <w:rFonts w:ascii="Arial" w:hAnsi="Arial" w:cs="Arial"/>
                <w:sz w:val="20"/>
                <w:szCs w:val="20"/>
                <w:lang w:val="fr-CA"/>
              </w:rPr>
              <w:t>Veuillez consul</w:t>
            </w:r>
            <w:r w:rsidR="00535F12" w:rsidRPr="006D2A16">
              <w:rPr>
                <w:rFonts w:ascii="Arial" w:hAnsi="Arial" w:cs="Arial"/>
                <w:sz w:val="20"/>
                <w:szCs w:val="20"/>
                <w:lang w:val="fr-CA"/>
              </w:rPr>
              <w:t>ter la section</w:t>
            </w:r>
            <w:r w:rsidR="00EE1F35" w:rsidRPr="006D2A16">
              <w:rPr>
                <w:rFonts w:ascii="Arial" w:hAnsi="Arial" w:cs="Arial"/>
                <w:sz w:val="20"/>
                <w:szCs w:val="20"/>
                <w:lang w:val="fr-CA"/>
              </w:rPr>
              <w:t> </w:t>
            </w:r>
            <w:r w:rsidR="00535F12" w:rsidRPr="006D2A16">
              <w:rPr>
                <w:rFonts w:ascii="Arial" w:hAnsi="Arial" w:cs="Arial"/>
                <w:sz w:val="20"/>
                <w:szCs w:val="20"/>
                <w:lang w:val="fr-CA"/>
              </w:rPr>
              <w:t>2.2 de l’</w:t>
            </w:r>
            <w:hyperlink r:id="rId11" w:history="1">
              <w:r w:rsidR="00535F12" w:rsidRPr="006D2A16">
                <w:rPr>
                  <w:rStyle w:val="Hyperlink"/>
                  <w:rFonts w:ascii="Arial" w:hAnsi="Arial" w:cs="Arial"/>
                  <w:sz w:val="20"/>
                  <w:szCs w:val="20"/>
                  <w:lang w:val="fr-CA"/>
                </w:rPr>
                <w:t>Avis 18</w:t>
              </w:r>
              <w:r w:rsidR="00535F12" w:rsidRPr="006D2A16">
                <w:rPr>
                  <w:rStyle w:val="Hyperlink"/>
                  <w:rFonts w:ascii="Arial" w:hAnsi="Arial" w:cs="Arial"/>
                  <w:sz w:val="20"/>
                  <w:szCs w:val="20"/>
                  <w:lang w:val="fr-CA"/>
                </w:rPr>
                <w:noBreakHyphen/>
              </w:r>
              <w:r w:rsidRPr="006D2A16">
                <w:rPr>
                  <w:rStyle w:val="Hyperlink"/>
                  <w:rFonts w:ascii="Arial" w:hAnsi="Arial" w:cs="Arial"/>
                  <w:sz w:val="20"/>
                  <w:szCs w:val="20"/>
                  <w:lang w:val="fr-CA"/>
                </w:rPr>
                <w:t>0076</w:t>
              </w:r>
            </w:hyperlink>
            <w:r w:rsidRPr="006D2A16">
              <w:rPr>
                <w:rFonts w:ascii="Arial" w:hAnsi="Arial" w:cs="Arial"/>
                <w:sz w:val="20"/>
                <w:szCs w:val="20"/>
                <w:lang w:val="fr-CA"/>
              </w:rPr>
              <w:t>, qui traite de l’applicabilité de l’article</w:t>
            </w:r>
            <w:r w:rsidR="00EE1F35" w:rsidRPr="006D2A16">
              <w:rPr>
                <w:rFonts w:ascii="Arial" w:hAnsi="Arial" w:cs="Arial"/>
                <w:sz w:val="20"/>
                <w:szCs w:val="20"/>
                <w:lang w:val="fr-CA"/>
              </w:rPr>
              <w:t> </w:t>
            </w:r>
            <w:r w:rsidRPr="006D2A16">
              <w:rPr>
                <w:rFonts w:ascii="Arial" w:hAnsi="Arial" w:cs="Arial"/>
                <w:sz w:val="20"/>
                <w:szCs w:val="20"/>
                <w:lang w:val="fr-CA"/>
              </w:rPr>
              <w:t>3211 aux sociétés offrant des comptes sans conseils.</w:t>
            </w:r>
          </w:p>
          <w:p w14:paraId="57E1E1D1" w14:textId="77777777" w:rsidR="0043737B" w:rsidRPr="006D2A16" w:rsidRDefault="0043737B" w:rsidP="00D73131">
            <w:pPr>
              <w:pStyle w:val="BodyText"/>
              <w:ind w:left="107" w:right="138"/>
              <w:rPr>
                <w:rFonts w:ascii="Arial" w:hAnsi="Arial" w:cs="Arial"/>
                <w:sz w:val="20"/>
                <w:szCs w:val="20"/>
                <w:lang w:val="fr-CA"/>
              </w:rPr>
            </w:pPr>
          </w:p>
        </w:tc>
      </w:tr>
      <w:tr w:rsidR="0043737B" w:rsidRPr="006D2A16" w14:paraId="3A1D1D2B" w14:textId="77777777" w:rsidTr="006D2A16">
        <w:trPr>
          <w:gridAfter w:val="1"/>
          <w:wAfter w:w="3" w:type="pct"/>
        </w:trPr>
        <w:tc>
          <w:tcPr>
            <w:tcW w:w="3293" w:type="pct"/>
          </w:tcPr>
          <w:p w14:paraId="498C0B57" w14:textId="7F300EF0" w:rsidR="00EE4EBA" w:rsidRPr="006D2A16" w:rsidRDefault="0053344F" w:rsidP="00D73131">
            <w:pPr>
              <w:pStyle w:val="BodyText"/>
              <w:ind w:right="127"/>
              <w:rPr>
                <w:rFonts w:ascii="Arial" w:hAnsi="Arial" w:cs="Arial"/>
                <w:sz w:val="20"/>
                <w:szCs w:val="20"/>
                <w:lang w:val="fr-CA"/>
              </w:rPr>
            </w:pPr>
            <w:r w:rsidRPr="006D2A16">
              <w:rPr>
                <w:rFonts w:ascii="Arial" w:hAnsi="Arial" w:cs="Arial"/>
                <w:sz w:val="20"/>
                <w:szCs w:val="20"/>
                <w:lang w:val="fr-CA"/>
              </w:rPr>
              <w:t>En ce qui concerne l’alinéa</w:t>
            </w:r>
            <w:r w:rsidR="00EE1F35" w:rsidRPr="006D2A16">
              <w:rPr>
                <w:rFonts w:ascii="Arial" w:hAnsi="Arial" w:cs="Arial"/>
                <w:sz w:val="20"/>
                <w:szCs w:val="20"/>
                <w:lang w:val="fr-CA"/>
              </w:rPr>
              <w:t> </w:t>
            </w:r>
            <w:r w:rsidRPr="006D2A16">
              <w:rPr>
                <w:rFonts w:ascii="Arial" w:hAnsi="Arial" w:cs="Arial"/>
                <w:sz w:val="20"/>
                <w:szCs w:val="20"/>
                <w:lang w:val="fr-CA"/>
              </w:rPr>
              <w:t xml:space="preserve">3211(3)(ii), les intervenants jugent qu’il est inutile d’obliger les gestionnaires de </w:t>
            </w:r>
            <w:r w:rsidRPr="006D2A16">
              <w:rPr>
                <w:rFonts w:ascii="Arial" w:hAnsi="Arial" w:cs="Arial"/>
                <w:sz w:val="20"/>
                <w:szCs w:val="20"/>
                <w:lang w:val="fr-CA"/>
              </w:rPr>
              <w:lastRenderedPageBreak/>
              <w:t>portefeuille à évaluer la pertinence du compte puisqu’ils ont une obligation fiduciaire envers le client.</w:t>
            </w:r>
          </w:p>
          <w:p w14:paraId="079A8F8C" w14:textId="77777777" w:rsidR="0043737B" w:rsidRPr="006D2A16" w:rsidRDefault="0043737B" w:rsidP="00D73131">
            <w:pPr>
              <w:pStyle w:val="BodyText"/>
              <w:ind w:left="107" w:right="197"/>
              <w:rPr>
                <w:rFonts w:ascii="Arial" w:hAnsi="Arial" w:cs="Arial"/>
                <w:sz w:val="20"/>
                <w:szCs w:val="20"/>
                <w:lang w:val="fr-CA"/>
              </w:rPr>
            </w:pPr>
          </w:p>
        </w:tc>
        <w:tc>
          <w:tcPr>
            <w:tcW w:w="1704" w:type="pct"/>
            <w:tcBorders>
              <w:bottom w:val="single" w:sz="4" w:space="0" w:color="auto"/>
            </w:tcBorders>
          </w:tcPr>
          <w:p w14:paraId="77F9E39B" w14:textId="61DE08A3" w:rsidR="00EE4EBA" w:rsidRPr="006D2A16" w:rsidRDefault="001F4FA6" w:rsidP="00D73131">
            <w:pPr>
              <w:pStyle w:val="BodyText"/>
              <w:ind w:right="229"/>
              <w:rPr>
                <w:rFonts w:ascii="Arial" w:hAnsi="Arial" w:cs="Arial"/>
                <w:sz w:val="20"/>
                <w:szCs w:val="20"/>
                <w:lang w:val="fr-CA"/>
              </w:rPr>
            </w:pPr>
            <w:r w:rsidRPr="006D2A16">
              <w:rPr>
                <w:rFonts w:ascii="Arial" w:hAnsi="Arial" w:cs="Arial"/>
                <w:sz w:val="20"/>
                <w:szCs w:val="20"/>
                <w:lang w:val="fr-CA"/>
              </w:rPr>
              <w:lastRenderedPageBreak/>
              <w:t xml:space="preserve">Nous ne pensons pas que le fait que les gestionnaires </w:t>
            </w:r>
            <w:r w:rsidRPr="006D2A16">
              <w:rPr>
                <w:rFonts w:ascii="Arial" w:hAnsi="Arial" w:cs="Arial"/>
                <w:sz w:val="20"/>
                <w:szCs w:val="20"/>
                <w:lang w:val="fr-CA"/>
              </w:rPr>
              <w:lastRenderedPageBreak/>
              <w:t>de portefeuille ont une obligation fiduciaire élimine la nécessité d’évaluer la pertinence du compte avant d’ouvrir un compte.</w:t>
            </w:r>
          </w:p>
          <w:p w14:paraId="4F819AD1" w14:textId="77777777" w:rsidR="0043737B" w:rsidRPr="006D2A16" w:rsidRDefault="0043737B" w:rsidP="00D73131">
            <w:pPr>
              <w:pStyle w:val="BodyText"/>
              <w:ind w:left="107" w:right="138"/>
              <w:rPr>
                <w:rFonts w:ascii="Arial" w:hAnsi="Arial" w:cs="Arial"/>
                <w:sz w:val="20"/>
                <w:szCs w:val="20"/>
                <w:lang w:val="fr-CA"/>
              </w:rPr>
            </w:pPr>
          </w:p>
        </w:tc>
      </w:tr>
      <w:tr w:rsidR="0043737B" w:rsidRPr="006D2A16" w14:paraId="31D3A249" w14:textId="77777777" w:rsidTr="006D2A16">
        <w:trPr>
          <w:gridAfter w:val="1"/>
          <w:wAfter w:w="3" w:type="pct"/>
        </w:trPr>
        <w:tc>
          <w:tcPr>
            <w:tcW w:w="3293" w:type="pct"/>
          </w:tcPr>
          <w:p w14:paraId="49902413" w14:textId="086F0B53" w:rsidR="00EE4EBA" w:rsidRPr="006D2A16" w:rsidRDefault="0053344F" w:rsidP="00D73131">
            <w:pPr>
              <w:pStyle w:val="BodyText"/>
              <w:ind w:right="230"/>
              <w:rPr>
                <w:rFonts w:ascii="Arial" w:hAnsi="Arial" w:cs="Arial"/>
                <w:sz w:val="20"/>
                <w:szCs w:val="20"/>
                <w:lang w:val="fr-CA"/>
              </w:rPr>
            </w:pPr>
            <w:r w:rsidRPr="006D2A16">
              <w:rPr>
                <w:rFonts w:ascii="Arial" w:hAnsi="Arial" w:cs="Arial"/>
                <w:sz w:val="20"/>
                <w:szCs w:val="20"/>
                <w:lang w:val="fr-CA"/>
              </w:rPr>
              <w:lastRenderedPageBreak/>
              <w:t>Les intervenants recommandent que cette disposition s’applique uniquement aux nouveaux comptes et que les comptes existants bénéficient d’une clause de droits acquis.</w:t>
            </w:r>
          </w:p>
          <w:p w14:paraId="08B04DB0" w14:textId="77777777" w:rsidR="0043737B" w:rsidRPr="006D2A16" w:rsidRDefault="0043737B" w:rsidP="00D73131">
            <w:pPr>
              <w:pStyle w:val="BodyText"/>
              <w:ind w:left="107" w:right="197"/>
              <w:rPr>
                <w:rFonts w:ascii="Arial" w:hAnsi="Arial" w:cs="Arial"/>
                <w:sz w:val="20"/>
                <w:szCs w:val="20"/>
                <w:lang w:val="fr-CA"/>
              </w:rPr>
            </w:pPr>
          </w:p>
        </w:tc>
        <w:tc>
          <w:tcPr>
            <w:tcW w:w="1704" w:type="pct"/>
            <w:tcBorders>
              <w:bottom w:val="single" w:sz="4" w:space="0" w:color="auto"/>
            </w:tcBorders>
          </w:tcPr>
          <w:p w14:paraId="6EA101EC" w14:textId="3EB67344" w:rsidR="0043737B" w:rsidRPr="006D2A16" w:rsidRDefault="001F4FA6" w:rsidP="00D73131">
            <w:pPr>
              <w:pStyle w:val="BodyText"/>
              <w:ind w:right="138"/>
              <w:rPr>
                <w:rFonts w:ascii="Arial" w:hAnsi="Arial" w:cs="Arial"/>
                <w:sz w:val="20"/>
                <w:szCs w:val="20"/>
                <w:lang w:val="fr-CA"/>
              </w:rPr>
            </w:pPr>
            <w:r w:rsidRPr="006D2A16">
              <w:rPr>
                <w:rFonts w:ascii="Arial" w:hAnsi="Arial" w:cs="Arial"/>
                <w:sz w:val="20"/>
                <w:szCs w:val="20"/>
                <w:lang w:val="fr-CA"/>
              </w:rPr>
              <w:t>Nous sommes d’accord avec ce commentaire. Nous n’avons pas l’intention d’appliquer l’obligation d’évaluer la pertinence du compte (conformément aux RLS) rétroactivement.</w:t>
            </w:r>
          </w:p>
        </w:tc>
      </w:tr>
      <w:tr w:rsidR="0043737B" w:rsidRPr="006D2A16" w14:paraId="32461BCF" w14:textId="77777777" w:rsidTr="006D2A16">
        <w:trPr>
          <w:gridAfter w:val="1"/>
          <w:wAfter w:w="3" w:type="pct"/>
        </w:trPr>
        <w:tc>
          <w:tcPr>
            <w:tcW w:w="3293" w:type="pct"/>
          </w:tcPr>
          <w:p w14:paraId="1A3BCC4D" w14:textId="3BFB3EC5" w:rsidR="00EE4EBA" w:rsidRPr="006D2A16" w:rsidRDefault="0053344F" w:rsidP="00D73131">
            <w:pPr>
              <w:pStyle w:val="BodyText"/>
              <w:ind w:right="328"/>
              <w:jc w:val="both"/>
              <w:rPr>
                <w:rFonts w:ascii="Arial" w:hAnsi="Arial" w:cs="Arial"/>
                <w:sz w:val="20"/>
                <w:szCs w:val="20"/>
                <w:lang w:val="fr-CA"/>
              </w:rPr>
            </w:pPr>
            <w:r w:rsidRPr="006D2A16">
              <w:rPr>
                <w:rFonts w:ascii="Arial" w:hAnsi="Arial" w:cs="Arial"/>
                <w:sz w:val="20"/>
                <w:szCs w:val="20"/>
                <w:lang w:val="fr-CA"/>
              </w:rPr>
              <w:t>Un intervenant recommande une période transitoire d’au moins un an (à compter de l’entrée en vigueur des règles) pour les nouveaux comptes et une période transitoire de trois ans pour les comptes existants, afin de faciliter la modification des processus internes.</w:t>
            </w:r>
          </w:p>
          <w:p w14:paraId="346FEA42" w14:textId="77777777" w:rsidR="0043737B" w:rsidRPr="006D2A16" w:rsidRDefault="0043737B" w:rsidP="00D73131">
            <w:pPr>
              <w:pStyle w:val="BodyText"/>
              <w:ind w:left="107" w:right="197"/>
              <w:rPr>
                <w:rFonts w:ascii="Arial" w:hAnsi="Arial" w:cs="Arial"/>
                <w:sz w:val="20"/>
                <w:szCs w:val="20"/>
                <w:lang w:val="fr-CA"/>
              </w:rPr>
            </w:pPr>
          </w:p>
        </w:tc>
        <w:tc>
          <w:tcPr>
            <w:tcW w:w="1704" w:type="pct"/>
            <w:tcBorders>
              <w:bottom w:val="single" w:sz="4" w:space="0" w:color="auto"/>
            </w:tcBorders>
          </w:tcPr>
          <w:p w14:paraId="47478DCF" w14:textId="77777777" w:rsidR="0053344F" w:rsidRPr="006D2A16" w:rsidRDefault="0053344F" w:rsidP="00D73131">
            <w:pPr>
              <w:pStyle w:val="BodyText"/>
              <w:ind w:right="262"/>
              <w:rPr>
                <w:rFonts w:ascii="Arial" w:hAnsi="Arial" w:cs="Arial"/>
                <w:sz w:val="20"/>
                <w:szCs w:val="20"/>
                <w:lang w:val="fr-CA"/>
              </w:rPr>
            </w:pPr>
            <w:r w:rsidRPr="006D2A16">
              <w:rPr>
                <w:rFonts w:ascii="Arial" w:hAnsi="Arial" w:cs="Arial"/>
                <w:sz w:val="20"/>
                <w:szCs w:val="20"/>
                <w:lang w:val="fr-CA"/>
              </w:rPr>
              <w:t>Nous vous remercions pour vos commentaires.</w:t>
            </w:r>
          </w:p>
          <w:p w14:paraId="65AA3AAA" w14:textId="78B45EF3" w:rsidR="0053344F" w:rsidRPr="006D2A16" w:rsidRDefault="0053344F" w:rsidP="00D73131">
            <w:pPr>
              <w:pStyle w:val="BodyText"/>
              <w:ind w:right="262"/>
              <w:rPr>
                <w:rFonts w:ascii="Arial" w:hAnsi="Arial" w:cs="Arial"/>
                <w:sz w:val="20"/>
                <w:szCs w:val="20"/>
                <w:lang w:val="fr-CA"/>
              </w:rPr>
            </w:pPr>
            <w:r w:rsidRPr="006D2A16">
              <w:rPr>
                <w:rFonts w:ascii="Arial" w:hAnsi="Arial" w:cs="Arial"/>
                <w:sz w:val="20"/>
                <w:szCs w:val="20"/>
                <w:lang w:val="fr-CA"/>
              </w:rPr>
              <w:t>Nous avons tenu compte de ces commentaires dans la (les) période(s) transitoire(s) fixée(s</w:t>
            </w:r>
            <w:r w:rsidR="00F804F6" w:rsidRPr="006D2A16">
              <w:rPr>
                <w:rFonts w:ascii="Arial" w:hAnsi="Arial" w:cs="Arial"/>
                <w:sz w:val="20"/>
                <w:szCs w:val="20"/>
                <w:lang w:val="fr-CA"/>
              </w:rPr>
              <w:t>) dans l’avis de mise en œuvre.</w:t>
            </w:r>
          </w:p>
          <w:p w14:paraId="1DA23EE4" w14:textId="0F3E575D" w:rsidR="00EE4EBA" w:rsidRPr="006D2A16" w:rsidRDefault="00EE4EBA" w:rsidP="00D73131">
            <w:pPr>
              <w:pStyle w:val="BodyText"/>
              <w:ind w:right="262"/>
              <w:rPr>
                <w:rFonts w:ascii="Arial" w:hAnsi="Arial" w:cs="Arial"/>
                <w:sz w:val="20"/>
                <w:szCs w:val="20"/>
                <w:lang w:val="fr-CA"/>
              </w:rPr>
            </w:pPr>
          </w:p>
          <w:p w14:paraId="447AB387" w14:textId="77777777" w:rsidR="0043737B" w:rsidRPr="006D2A16" w:rsidRDefault="0043737B" w:rsidP="00D73131">
            <w:pPr>
              <w:pStyle w:val="BodyText"/>
              <w:ind w:left="107" w:right="138"/>
              <w:rPr>
                <w:rFonts w:ascii="Arial" w:hAnsi="Arial" w:cs="Arial"/>
                <w:sz w:val="20"/>
                <w:szCs w:val="20"/>
                <w:lang w:val="fr-CA"/>
              </w:rPr>
            </w:pPr>
          </w:p>
        </w:tc>
      </w:tr>
      <w:tr w:rsidR="00EE4EBA" w:rsidRPr="006D2A16" w14:paraId="65CE4456" w14:textId="77777777" w:rsidTr="006D2A16">
        <w:tc>
          <w:tcPr>
            <w:tcW w:w="5000" w:type="pct"/>
            <w:gridSpan w:val="3"/>
            <w:shd w:val="clear" w:color="auto" w:fill="FDE9D9" w:themeFill="accent6" w:themeFillTint="33"/>
          </w:tcPr>
          <w:p w14:paraId="1DFDF5F3" w14:textId="49BC7532" w:rsidR="00A85F8B" w:rsidRPr="006D2A16" w:rsidRDefault="00F804F6" w:rsidP="00D73131">
            <w:pPr>
              <w:pStyle w:val="BodyText"/>
              <w:ind w:right="138"/>
              <w:rPr>
                <w:rFonts w:ascii="Arial" w:hAnsi="Arial" w:cs="Arial"/>
                <w:sz w:val="20"/>
                <w:szCs w:val="20"/>
                <w:u w:val="single"/>
                <w:lang w:val="fr-CA"/>
              </w:rPr>
            </w:pPr>
            <w:r w:rsidRPr="006D2A16">
              <w:rPr>
                <w:rFonts w:ascii="Arial" w:hAnsi="Arial" w:cs="Arial"/>
                <w:sz w:val="20"/>
                <w:szCs w:val="20"/>
                <w:u w:val="single"/>
                <w:lang w:val="fr-CA"/>
              </w:rPr>
              <w:t>Article</w:t>
            </w:r>
            <w:r w:rsidR="00EE1F35" w:rsidRPr="006D2A16">
              <w:rPr>
                <w:rFonts w:ascii="Arial" w:hAnsi="Arial" w:cs="Arial"/>
                <w:sz w:val="20"/>
                <w:szCs w:val="20"/>
                <w:u w:val="single"/>
                <w:lang w:val="fr-CA"/>
              </w:rPr>
              <w:t> </w:t>
            </w:r>
            <w:r w:rsidRPr="006D2A16">
              <w:rPr>
                <w:rFonts w:ascii="Arial" w:hAnsi="Arial" w:cs="Arial"/>
                <w:sz w:val="20"/>
                <w:szCs w:val="20"/>
                <w:u w:val="single"/>
                <w:lang w:val="fr-CA"/>
              </w:rPr>
              <w:t>3211</w:t>
            </w:r>
            <w:r w:rsidR="00A85F8B" w:rsidRPr="006D2A16">
              <w:rPr>
                <w:rFonts w:ascii="Arial" w:hAnsi="Arial" w:cs="Arial"/>
                <w:sz w:val="20"/>
                <w:szCs w:val="20"/>
                <w:lang w:val="fr-CA"/>
              </w:rPr>
              <w:t xml:space="preserve"> – Exigences associées aux comptes de clients – Pertinence du compte </w:t>
            </w:r>
          </w:p>
          <w:p w14:paraId="3776D338" w14:textId="77777777" w:rsidR="00EE4EBA" w:rsidRDefault="00F804F6" w:rsidP="00D73131">
            <w:pPr>
              <w:pStyle w:val="BodyText"/>
              <w:ind w:right="138"/>
              <w:rPr>
                <w:rFonts w:ascii="Arial" w:hAnsi="Arial" w:cs="Arial"/>
                <w:sz w:val="20"/>
                <w:szCs w:val="20"/>
                <w:lang w:val="fr-CA"/>
              </w:rPr>
            </w:pPr>
            <w:r w:rsidRPr="006D2A16">
              <w:rPr>
                <w:rFonts w:ascii="Arial" w:hAnsi="Arial" w:cs="Arial"/>
                <w:sz w:val="20"/>
                <w:szCs w:val="20"/>
                <w:u w:val="single"/>
                <w:lang w:val="fr-CA"/>
              </w:rPr>
              <w:t>Article</w:t>
            </w:r>
            <w:r w:rsidR="00EE1F35" w:rsidRPr="006D2A16">
              <w:rPr>
                <w:rFonts w:ascii="Arial" w:hAnsi="Arial" w:cs="Arial"/>
                <w:sz w:val="20"/>
                <w:szCs w:val="20"/>
                <w:u w:val="single"/>
                <w:lang w:val="fr-CA"/>
              </w:rPr>
              <w:t> </w:t>
            </w:r>
            <w:r w:rsidRPr="006D2A16">
              <w:rPr>
                <w:rFonts w:ascii="Arial" w:hAnsi="Arial" w:cs="Arial"/>
                <w:sz w:val="20"/>
                <w:szCs w:val="20"/>
                <w:u w:val="single"/>
                <w:lang w:val="fr-CA"/>
              </w:rPr>
              <w:t>3241</w:t>
            </w:r>
            <w:r w:rsidR="00A85F8B" w:rsidRPr="006D2A16">
              <w:rPr>
                <w:rFonts w:ascii="Arial" w:hAnsi="Arial" w:cs="Arial"/>
                <w:sz w:val="20"/>
                <w:szCs w:val="20"/>
                <w:lang w:val="fr-CA"/>
              </w:rPr>
              <w:t xml:space="preserve"> – Services pour comptes sans conseils</w:t>
            </w:r>
          </w:p>
          <w:p w14:paraId="052489FC" w14:textId="7D8376F0" w:rsidR="00CF6C89" w:rsidRPr="006D2A16" w:rsidRDefault="00CF6C89" w:rsidP="00D73131">
            <w:pPr>
              <w:pStyle w:val="BodyText"/>
              <w:ind w:right="138"/>
              <w:rPr>
                <w:lang w:val="fr-CA"/>
              </w:rPr>
            </w:pPr>
          </w:p>
        </w:tc>
      </w:tr>
      <w:tr w:rsidR="0043737B" w:rsidRPr="006D2A16" w14:paraId="4105EE7B" w14:textId="77777777" w:rsidTr="006D2A16">
        <w:trPr>
          <w:gridAfter w:val="1"/>
          <w:wAfter w:w="3" w:type="pct"/>
        </w:trPr>
        <w:tc>
          <w:tcPr>
            <w:tcW w:w="3293" w:type="pct"/>
          </w:tcPr>
          <w:p w14:paraId="128139DD" w14:textId="57290CAA" w:rsidR="0043737B" w:rsidRPr="006D2A16" w:rsidRDefault="00A85F8B" w:rsidP="00D73131">
            <w:pPr>
              <w:pStyle w:val="BodyText"/>
              <w:ind w:right="197"/>
              <w:rPr>
                <w:rFonts w:ascii="Arial" w:hAnsi="Arial" w:cs="Arial"/>
                <w:sz w:val="20"/>
                <w:lang w:val="fr-CA"/>
              </w:rPr>
            </w:pPr>
            <w:r w:rsidRPr="006D2A16">
              <w:rPr>
                <w:rFonts w:ascii="Arial" w:hAnsi="Arial" w:cs="Arial"/>
                <w:sz w:val="20"/>
                <w:lang w:val="fr-CA"/>
              </w:rPr>
              <w:t>Deux intervenants estiment que la consultation sur le projet de modification de règle et la note d’orientation connexe sur les services d’exécution d’ordres sans conseils devrait être reportée jusqu’après la fin des consultations sur le Document de consultation</w:t>
            </w:r>
            <w:r w:rsidR="00EE1F35" w:rsidRPr="006D2A16">
              <w:rPr>
                <w:rFonts w:ascii="Arial" w:hAnsi="Arial" w:cs="Arial"/>
                <w:sz w:val="20"/>
                <w:lang w:val="fr-CA"/>
              </w:rPr>
              <w:t> </w:t>
            </w:r>
            <w:r w:rsidRPr="006D2A16">
              <w:rPr>
                <w:rFonts w:ascii="Arial" w:hAnsi="Arial" w:cs="Arial"/>
                <w:sz w:val="20"/>
                <w:lang w:val="fr-CA"/>
              </w:rPr>
              <w:t>81-408 des ACVM et la stratégie relative aux personnes âgées de la Commission des valeurs mobilières de l’Ontario (CVMO). Les intervenants soulignent que le versement d’une commission de suivi est fondé, en théorie, sur le principe voulant que l’intermédiaire fournisse des services continus de conseil en placement au client. Étant donné que les sociétés offrant des comptes sans conseils ne fournissent pas de recommandations ou de conseils, elles n’ont aucune raison de percevoir des commissions de suivi et ne devraient donc pas être autorisées à vendre des produits qui comportent des commissions de suivi intégrées.</w:t>
            </w:r>
          </w:p>
        </w:tc>
        <w:tc>
          <w:tcPr>
            <w:tcW w:w="1704" w:type="pct"/>
            <w:tcBorders>
              <w:bottom w:val="single" w:sz="4" w:space="0" w:color="auto"/>
            </w:tcBorders>
          </w:tcPr>
          <w:p w14:paraId="1ADD0F10" w14:textId="26670728" w:rsidR="00EE4EBA" w:rsidRPr="006D2A16" w:rsidRDefault="00A85F8B" w:rsidP="00D73131">
            <w:pPr>
              <w:pStyle w:val="BodyText"/>
              <w:ind w:right="141"/>
              <w:rPr>
                <w:rFonts w:ascii="Arial" w:hAnsi="Arial" w:cs="Arial"/>
                <w:sz w:val="20"/>
                <w:lang w:val="fr-CA"/>
              </w:rPr>
            </w:pPr>
            <w:r w:rsidRPr="006D2A16">
              <w:rPr>
                <w:rFonts w:ascii="Arial" w:hAnsi="Arial" w:cs="Arial"/>
                <w:sz w:val="20"/>
                <w:lang w:val="fr-CA"/>
              </w:rPr>
              <w:t>Veuillez vous reporter à l’Avis</w:t>
            </w:r>
            <w:r w:rsidR="00EE1F35" w:rsidRPr="006D2A16">
              <w:rPr>
                <w:rFonts w:ascii="Arial" w:hAnsi="Arial" w:cs="Arial"/>
                <w:sz w:val="20"/>
                <w:lang w:val="fr-CA"/>
              </w:rPr>
              <w:t> </w:t>
            </w:r>
            <w:r w:rsidRPr="006D2A16">
              <w:rPr>
                <w:rFonts w:ascii="Arial" w:hAnsi="Arial" w:cs="Arial"/>
                <w:sz w:val="20"/>
                <w:lang w:val="fr-CA"/>
              </w:rPr>
              <w:t>81-330 du personnel des ACVM et à l’Avis de l’OCRCVM</w:t>
            </w:r>
            <w:r w:rsidR="00EE1F35" w:rsidRPr="006D2A16">
              <w:rPr>
                <w:rFonts w:ascii="Arial" w:hAnsi="Arial" w:cs="Arial"/>
                <w:sz w:val="20"/>
                <w:lang w:val="fr-CA"/>
              </w:rPr>
              <w:t> </w:t>
            </w:r>
            <w:r w:rsidRPr="006D2A16">
              <w:rPr>
                <w:rFonts w:ascii="Arial" w:hAnsi="Arial" w:cs="Arial"/>
                <w:sz w:val="20"/>
                <w:lang w:val="fr-CA"/>
              </w:rPr>
              <w:t>18-0158 pour connaître l’état du dossier concernant les commissions intégrées.</w:t>
            </w:r>
          </w:p>
          <w:p w14:paraId="02959F1E" w14:textId="77777777" w:rsidR="0043737B" w:rsidRPr="006D2A16" w:rsidRDefault="0043737B" w:rsidP="00D73131">
            <w:pPr>
              <w:pStyle w:val="BodyText"/>
              <w:ind w:right="138"/>
              <w:rPr>
                <w:rFonts w:ascii="Arial" w:hAnsi="Arial" w:cs="Arial"/>
                <w:sz w:val="20"/>
                <w:lang w:val="fr-CA"/>
              </w:rPr>
            </w:pPr>
          </w:p>
        </w:tc>
      </w:tr>
      <w:tr w:rsidR="0043737B" w:rsidRPr="006D2A16" w14:paraId="29713DF3" w14:textId="77777777" w:rsidTr="006D2A16">
        <w:trPr>
          <w:gridAfter w:val="1"/>
          <w:wAfter w:w="3" w:type="pct"/>
        </w:trPr>
        <w:tc>
          <w:tcPr>
            <w:tcW w:w="3293" w:type="pct"/>
          </w:tcPr>
          <w:p w14:paraId="6DB93D60" w14:textId="48F8B62A" w:rsidR="00EE4EBA" w:rsidRPr="006D2A16" w:rsidRDefault="00A85F8B" w:rsidP="00D73131">
            <w:pPr>
              <w:pStyle w:val="BodyText"/>
              <w:ind w:right="112"/>
              <w:rPr>
                <w:rFonts w:ascii="Arial" w:hAnsi="Arial" w:cs="Arial"/>
                <w:sz w:val="20"/>
                <w:lang w:val="fr-CA"/>
              </w:rPr>
            </w:pPr>
            <w:r w:rsidRPr="006D2A16">
              <w:rPr>
                <w:rFonts w:ascii="Arial" w:hAnsi="Arial" w:cs="Arial"/>
                <w:sz w:val="20"/>
                <w:lang w:val="fr-CA"/>
              </w:rPr>
              <w:t>Un intervenant souligne que le fait de dispenser une société offrant des comptes sans conseils de l’obligation de déterminer « si les produits et les types de comptes offerts par [la société] dans le cas d’un compte sans conseils conviennent au client » pourrait aggraver le risque que les investisseurs acquièrent à leur insu des parts de fonds d’une série qui comprend des frais (c.-à-d. des commissions de suivi intégrées) liés à des services que les sociétés offrant des comptes sans conseils ne proposent pas. Certains intervenants craignent également que le projet de modification n’implique involontairement que les sociétés offrant des comptes sans conseils sont aussi dispensées de l’obligation de détecter les activités de négociation inhabituelles dans le compte sans conseils d’une personne physique, lesquelles pourraient par exemple résulter de l’exploitation financière d’une personne âgée, d’une influence indue ou d’une diminution des facultés mentales.</w:t>
            </w:r>
          </w:p>
          <w:p w14:paraId="6A822100" w14:textId="77777777" w:rsidR="0043737B" w:rsidRPr="006D2A16" w:rsidRDefault="0043737B" w:rsidP="00D73131">
            <w:pPr>
              <w:pStyle w:val="BodyText"/>
              <w:ind w:left="107" w:right="197"/>
              <w:rPr>
                <w:rFonts w:ascii="Arial" w:hAnsi="Arial" w:cs="Arial"/>
                <w:sz w:val="20"/>
                <w:lang w:val="fr-CA"/>
              </w:rPr>
            </w:pPr>
          </w:p>
        </w:tc>
        <w:tc>
          <w:tcPr>
            <w:tcW w:w="1704" w:type="pct"/>
            <w:tcBorders>
              <w:bottom w:val="single" w:sz="4" w:space="0" w:color="auto"/>
            </w:tcBorders>
          </w:tcPr>
          <w:p w14:paraId="20A124AA" w14:textId="46AB2FD8" w:rsidR="00EE4EBA" w:rsidRPr="006D2A16" w:rsidRDefault="00A85F8B" w:rsidP="00D73131">
            <w:pPr>
              <w:pStyle w:val="BodyText"/>
              <w:ind w:right="189"/>
              <w:rPr>
                <w:rFonts w:ascii="Arial" w:hAnsi="Arial" w:cs="Arial"/>
                <w:sz w:val="20"/>
                <w:lang w:val="fr-CA"/>
              </w:rPr>
            </w:pPr>
            <w:r w:rsidRPr="006D2A16">
              <w:rPr>
                <w:rFonts w:ascii="Arial" w:hAnsi="Arial" w:cs="Arial"/>
                <w:sz w:val="20"/>
                <w:lang w:val="fr-CA"/>
              </w:rPr>
              <w:t>Le modèle des sociétés offrant des comptes sans conseils est une plateforme autogérée bénéficiant d’une dispense de l’obligation d’évaluer la convenance, qui fournit aux clients un accès à une plateforme de négociation en ligne leur permettant de négocier eux</w:t>
            </w:r>
            <w:r w:rsidR="00EE1F35" w:rsidRPr="006D2A16">
              <w:rPr>
                <w:rFonts w:ascii="Arial" w:hAnsi="Arial" w:cs="Arial"/>
                <w:sz w:val="20"/>
                <w:lang w:val="fr-CA"/>
              </w:rPr>
              <w:t>-</w:t>
            </w:r>
            <w:r w:rsidRPr="006D2A16">
              <w:rPr>
                <w:rFonts w:ascii="Arial" w:hAnsi="Arial" w:cs="Arial"/>
                <w:sz w:val="20"/>
                <w:lang w:val="fr-CA"/>
              </w:rPr>
              <w:t>mêmes des titres sans recevoir de recommandation ou d’évaluation de la convenance de la part de la société. Pour plus de renseignements, veuillez vous reporter à la note d’orientation récemment publiée sur les services et les activités d’exécution d’ordres sans conseils (Avis</w:t>
            </w:r>
            <w:r w:rsidR="00EE1F35" w:rsidRPr="006D2A16">
              <w:rPr>
                <w:rFonts w:ascii="Arial" w:hAnsi="Arial" w:cs="Arial"/>
                <w:sz w:val="20"/>
                <w:lang w:val="fr-CA"/>
              </w:rPr>
              <w:t> </w:t>
            </w:r>
            <w:r w:rsidR="00EA3392" w:rsidRPr="006D2A16">
              <w:rPr>
                <w:rFonts w:ascii="Arial" w:hAnsi="Arial" w:cs="Arial"/>
                <w:sz w:val="20"/>
                <w:lang w:val="fr-CA"/>
              </w:rPr>
              <w:t>18</w:t>
            </w:r>
            <w:r w:rsidR="00EA3392" w:rsidRPr="006D2A16">
              <w:rPr>
                <w:rFonts w:ascii="Arial" w:hAnsi="Arial" w:cs="Arial"/>
                <w:sz w:val="20"/>
                <w:lang w:val="fr-CA"/>
              </w:rPr>
              <w:noBreakHyphen/>
            </w:r>
            <w:r w:rsidRPr="006D2A16">
              <w:rPr>
                <w:rFonts w:ascii="Arial" w:hAnsi="Arial" w:cs="Arial"/>
                <w:sz w:val="20"/>
                <w:lang w:val="fr-CA"/>
              </w:rPr>
              <w:t>0076).</w:t>
            </w:r>
          </w:p>
          <w:p w14:paraId="4B201419" w14:textId="77777777" w:rsidR="0043737B" w:rsidRDefault="0043737B" w:rsidP="00D73131">
            <w:pPr>
              <w:pStyle w:val="BodyText"/>
              <w:ind w:left="107" w:right="138"/>
              <w:rPr>
                <w:rFonts w:ascii="Arial" w:hAnsi="Arial" w:cs="Arial"/>
                <w:sz w:val="20"/>
                <w:lang w:val="fr-CA"/>
              </w:rPr>
            </w:pPr>
          </w:p>
          <w:p w14:paraId="1D38DC89" w14:textId="47DED862" w:rsidR="002B2660" w:rsidRPr="006D2A16" w:rsidRDefault="002B2660" w:rsidP="00D73131">
            <w:pPr>
              <w:pStyle w:val="BodyText"/>
              <w:ind w:left="107" w:right="138"/>
              <w:rPr>
                <w:rFonts w:ascii="Arial" w:hAnsi="Arial" w:cs="Arial"/>
                <w:sz w:val="20"/>
                <w:lang w:val="fr-CA"/>
              </w:rPr>
            </w:pPr>
          </w:p>
        </w:tc>
      </w:tr>
      <w:tr w:rsidR="00CF6C89" w:rsidRPr="006D2A16" w14:paraId="2E1097FB" w14:textId="77777777" w:rsidTr="006D2A16">
        <w:tc>
          <w:tcPr>
            <w:tcW w:w="5000" w:type="pct"/>
            <w:gridSpan w:val="3"/>
            <w:shd w:val="clear" w:color="auto" w:fill="FDE9D9" w:themeFill="accent6" w:themeFillTint="33"/>
          </w:tcPr>
          <w:p w14:paraId="57241160" w14:textId="77777777" w:rsidR="00CF6C89" w:rsidRDefault="00CF6C89" w:rsidP="00D73131">
            <w:pPr>
              <w:pStyle w:val="BodyText"/>
              <w:rPr>
                <w:rFonts w:ascii="Arial" w:hAnsi="Arial" w:cs="Arial"/>
                <w:sz w:val="20"/>
                <w:szCs w:val="20"/>
                <w:lang w:val="fr-CA"/>
              </w:rPr>
            </w:pPr>
            <w:r w:rsidRPr="006D2A16">
              <w:rPr>
                <w:rFonts w:ascii="Arial" w:hAnsi="Arial" w:cs="Arial"/>
                <w:sz w:val="20"/>
                <w:szCs w:val="20"/>
                <w:u w:val="single"/>
                <w:lang w:val="fr-CA"/>
              </w:rPr>
              <w:t>Article 3212</w:t>
            </w:r>
            <w:r w:rsidRPr="006D2A16">
              <w:rPr>
                <w:rFonts w:ascii="Arial" w:hAnsi="Arial" w:cs="Arial"/>
                <w:sz w:val="20"/>
                <w:szCs w:val="20"/>
                <w:lang w:val="fr-CA"/>
              </w:rPr>
              <w:t xml:space="preserve"> – Exigences associées aux comptes de clients – Renseignements sur le compte</w:t>
            </w:r>
          </w:p>
          <w:p w14:paraId="4DE039A7" w14:textId="2F291C01" w:rsidR="00CF6C89" w:rsidRPr="006D2A16" w:rsidRDefault="00CF6C89" w:rsidP="00D73131">
            <w:pPr>
              <w:pStyle w:val="BodyText"/>
              <w:rPr>
                <w:rFonts w:ascii="Arial" w:hAnsi="Arial" w:cs="Arial"/>
                <w:sz w:val="20"/>
                <w:szCs w:val="20"/>
                <w:lang w:val="fr-CA"/>
              </w:rPr>
            </w:pPr>
          </w:p>
        </w:tc>
      </w:tr>
      <w:tr w:rsidR="0043737B" w:rsidRPr="006D2A16" w14:paraId="1A13D5C3" w14:textId="77777777" w:rsidTr="006D2A16">
        <w:trPr>
          <w:gridAfter w:val="1"/>
          <w:wAfter w:w="3" w:type="pct"/>
        </w:trPr>
        <w:tc>
          <w:tcPr>
            <w:tcW w:w="3293" w:type="pct"/>
          </w:tcPr>
          <w:p w14:paraId="32B6D2F1" w14:textId="73F62096" w:rsidR="00EE4EBA" w:rsidRPr="006D2A16" w:rsidRDefault="00A85F8B" w:rsidP="00D73131">
            <w:pPr>
              <w:pStyle w:val="BodyText"/>
              <w:ind w:right="397"/>
              <w:rPr>
                <w:rFonts w:ascii="Arial" w:hAnsi="Arial" w:cs="Arial"/>
                <w:sz w:val="20"/>
                <w:szCs w:val="20"/>
                <w:lang w:val="fr-CA"/>
              </w:rPr>
            </w:pPr>
            <w:r w:rsidRPr="006D2A16">
              <w:rPr>
                <w:rFonts w:ascii="Arial" w:hAnsi="Arial" w:cs="Arial"/>
                <w:sz w:val="20"/>
                <w:szCs w:val="20"/>
                <w:lang w:val="fr-CA"/>
              </w:rPr>
              <w:t>L’OCRCVM a indiqué, en réponse à une question concernant l’information sur la relation (annexe</w:t>
            </w:r>
            <w:r w:rsidR="00EE1F35" w:rsidRPr="006D2A16">
              <w:rPr>
                <w:rFonts w:ascii="Arial" w:hAnsi="Arial" w:cs="Arial"/>
                <w:sz w:val="20"/>
                <w:szCs w:val="20"/>
                <w:lang w:val="fr-CA"/>
              </w:rPr>
              <w:t> </w:t>
            </w:r>
            <w:r w:rsidRPr="006D2A16">
              <w:rPr>
                <w:rFonts w:ascii="Arial" w:hAnsi="Arial" w:cs="Arial"/>
                <w:sz w:val="20"/>
                <w:szCs w:val="20"/>
                <w:lang w:val="fr-CA"/>
              </w:rPr>
              <w:t>4 de l’Avis), qu’il s’attend à ce que les sociétés conservent une confirmation de la remise du document d’information sur la relation. Les intervenants font remarquer que l’article</w:t>
            </w:r>
            <w:r w:rsidR="00EE1F35" w:rsidRPr="006D2A16">
              <w:rPr>
                <w:rFonts w:ascii="Arial" w:hAnsi="Arial" w:cs="Arial"/>
                <w:sz w:val="20"/>
                <w:szCs w:val="20"/>
                <w:lang w:val="fr-CA"/>
              </w:rPr>
              <w:t> </w:t>
            </w:r>
            <w:r w:rsidRPr="006D2A16">
              <w:rPr>
                <w:rFonts w:ascii="Arial" w:hAnsi="Arial" w:cs="Arial"/>
                <w:sz w:val="20"/>
                <w:szCs w:val="20"/>
                <w:lang w:val="fr-CA"/>
              </w:rPr>
              <w:t>3212 ne précise pas que le courtier membre est tenu de conserver une preuve de la remise des renseignements sur le compte du client. S’il s’agit d’une nouvelle exigence, elle représente un changement important par rapport aux pratiques actuelles et nécessite une période transitoire de deux ans.</w:t>
            </w:r>
          </w:p>
          <w:p w14:paraId="308CDB4F" w14:textId="77777777" w:rsidR="0043737B" w:rsidRPr="006D2A16" w:rsidRDefault="0043737B" w:rsidP="00D73131">
            <w:pPr>
              <w:pStyle w:val="BodyText"/>
              <w:ind w:left="107" w:right="197"/>
              <w:rPr>
                <w:rFonts w:ascii="Arial" w:hAnsi="Arial" w:cs="Arial"/>
                <w:sz w:val="20"/>
                <w:szCs w:val="20"/>
                <w:lang w:val="fr-CA"/>
              </w:rPr>
            </w:pPr>
          </w:p>
        </w:tc>
        <w:tc>
          <w:tcPr>
            <w:tcW w:w="1704" w:type="pct"/>
            <w:tcBorders>
              <w:bottom w:val="single" w:sz="4" w:space="0" w:color="auto"/>
            </w:tcBorders>
          </w:tcPr>
          <w:p w14:paraId="7E959148" w14:textId="4636A337" w:rsidR="00EE4EBA" w:rsidRPr="006D2A16" w:rsidRDefault="00A85F8B" w:rsidP="00D73131">
            <w:pPr>
              <w:pStyle w:val="BodyText"/>
              <w:ind w:right="184"/>
              <w:rPr>
                <w:rFonts w:ascii="Arial" w:hAnsi="Arial" w:cs="Arial"/>
                <w:sz w:val="20"/>
                <w:szCs w:val="20"/>
                <w:lang w:val="fr-CA"/>
              </w:rPr>
            </w:pPr>
            <w:r w:rsidRPr="006D2A16">
              <w:rPr>
                <w:rFonts w:ascii="Arial" w:hAnsi="Arial" w:cs="Arial"/>
                <w:sz w:val="20"/>
                <w:szCs w:val="20"/>
                <w:lang w:val="fr-CA"/>
              </w:rPr>
              <w:t>Selon nous, il ne s’agit pas d’une nouvelle exigence. Nous nous attendons à ce que les courtiers membres conservent une confirmation de la remise du document d’information sur la relation, conformément au paragraphe</w:t>
            </w:r>
            <w:r w:rsidR="00EE1F35" w:rsidRPr="006D2A16">
              <w:rPr>
                <w:rFonts w:ascii="Arial" w:hAnsi="Arial" w:cs="Arial"/>
                <w:sz w:val="20"/>
                <w:szCs w:val="20"/>
                <w:lang w:val="fr-CA"/>
              </w:rPr>
              <w:t> </w:t>
            </w:r>
            <w:r w:rsidRPr="006D2A16">
              <w:rPr>
                <w:rFonts w:ascii="Arial" w:hAnsi="Arial" w:cs="Arial"/>
                <w:sz w:val="20"/>
                <w:szCs w:val="20"/>
                <w:lang w:val="fr-CA"/>
              </w:rPr>
              <w:t>3216(7). Cette exigence cadre avec celle qui figure actuellement à l’article</w:t>
            </w:r>
            <w:r w:rsidR="00EE1F35" w:rsidRPr="006D2A16">
              <w:rPr>
                <w:rFonts w:ascii="Arial" w:hAnsi="Arial" w:cs="Arial"/>
                <w:sz w:val="20"/>
                <w:szCs w:val="20"/>
                <w:lang w:val="fr-CA"/>
              </w:rPr>
              <w:t> </w:t>
            </w:r>
            <w:r w:rsidRPr="006D2A16">
              <w:rPr>
                <w:rFonts w:ascii="Arial" w:hAnsi="Arial" w:cs="Arial"/>
                <w:sz w:val="20"/>
                <w:szCs w:val="20"/>
                <w:lang w:val="fr-CA"/>
              </w:rPr>
              <w:t>7 de la Règle</w:t>
            </w:r>
            <w:r w:rsidR="00EE1F35" w:rsidRPr="006D2A16">
              <w:rPr>
                <w:rFonts w:ascii="Arial" w:hAnsi="Arial" w:cs="Arial"/>
                <w:sz w:val="20"/>
                <w:szCs w:val="20"/>
                <w:lang w:val="fr-CA"/>
              </w:rPr>
              <w:t> </w:t>
            </w:r>
            <w:r w:rsidRPr="006D2A16">
              <w:rPr>
                <w:rFonts w:ascii="Arial" w:hAnsi="Arial" w:cs="Arial"/>
                <w:sz w:val="20"/>
                <w:szCs w:val="20"/>
                <w:lang w:val="fr-CA"/>
              </w:rPr>
              <w:t>3500 des courtiers membres.</w:t>
            </w:r>
          </w:p>
          <w:p w14:paraId="26C62205" w14:textId="77777777" w:rsidR="0043737B" w:rsidRPr="006D2A16" w:rsidRDefault="0043737B" w:rsidP="00D73131">
            <w:pPr>
              <w:pStyle w:val="BodyText"/>
              <w:ind w:right="138"/>
              <w:rPr>
                <w:rFonts w:ascii="Arial" w:hAnsi="Arial" w:cs="Arial"/>
                <w:sz w:val="20"/>
                <w:szCs w:val="20"/>
                <w:lang w:val="fr-CA"/>
              </w:rPr>
            </w:pPr>
          </w:p>
        </w:tc>
      </w:tr>
      <w:tr w:rsidR="00EE4EBA" w:rsidRPr="006D2A16" w14:paraId="2D29B9AF" w14:textId="77777777" w:rsidTr="006D2A16">
        <w:tc>
          <w:tcPr>
            <w:tcW w:w="5000" w:type="pct"/>
            <w:gridSpan w:val="3"/>
            <w:shd w:val="clear" w:color="auto" w:fill="FDE9D9" w:themeFill="accent6" w:themeFillTint="33"/>
          </w:tcPr>
          <w:p w14:paraId="1B526883" w14:textId="77777777" w:rsidR="00EE4EBA" w:rsidRDefault="00A85F8B" w:rsidP="00D73131">
            <w:pPr>
              <w:pStyle w:val="BodyText"/>
              <w:rPr>
                <w:rFonts w:ascii="Arial" w:hAnsi="Arial" w:cs="Arial"/>
                <w:sz w:val="20"/>
                <w:lang w:val="fr-CA"/>
              </w:rPr>
            </w:pPr>
            <w:r w:rsidRPr="006D2A16">
              <w:rPr>
                <w:rFonts w:ascii="Arial" w:hAnsi="Arial" w:cs="Arial"/>
                <w:sz w:val="20"/>
                <w:u w:val="single"/>
                <w:lang w:val="fr-CA"/>
              </w:rPr>
              <w:t>Paragrap</w:t>
            </w:r>
            <w:r w:rsidR="00F804F6" w:rsidRPr="006D2A16">
              <w:rPr>
                <w:rFonts w:ascii="Arial" w:hAnsi="Arial" w:cs="Arial"/>
                <w:sz w:val="20"/>
                <w:u w:val="single"/>
                <w:lang w:val="fr-CA"/>
              </w:rPr>
              <w:t>he</w:t>
            </w:r>
            <w:r w:rsidR="00EE1F35" w:rsidRPr="006D2A16">
              <w:rPr>
                <w:rFonts w:ascii="Arial" w:hAnsi="Arial" w:cs="Arial"/>
                <w:sz w:val="20"/>
                <w:u w:val="single"/>
                <w:lang w:val="fr-CA"/>
              </w:rPr>
              <w:t> </w:t>
            </w:r>
            <w:r w:rsidR="00F804F6" w:rsidRPr="006D2A16">
              <w:rPr>
                <w:rFonts w:ascii="Arial" w:hAnsi="Arial" w:cs="Arial"/>
                <w:sz w:val="20"/>
                <w:u w:val="single"/>
                <w:lang w:val="fr-CA"/>
              </w:rPr>
              <w:t>3217(1)</w:t>
            </w:r>
            <w:r w:rsidRPr="006D2A16">
              <w:rPr>
                <w:rFonts w:ascii="Arial" w:hAnsi="Arial" w:cs="Arial"/>
                <w:sz w:val="20"/>
                <w:lang w:val="fr-CA"/>
              </w:rPr>
              <w:t xml:space="preserve"> – Exigences associées aux comptes de clients – Document d’information sur le risque associé à l’effet de levier</w:t>
            </w:r>
          </w:p>
          <w:p w14:paraId="4E22EEA3" w14:textId="3A70FACD" w:rsidR="00CF6C89" w:rsidRPr="006D2A16" w:rsidRDefault="00CF6C89" w:rsidP="00D73131">
            <w:pPr>
              <w:pStyle w:val="BodyText"/>
              <w:rPr>
                <w:rFonts w:ascii="Arial" w:hAnsi="Arial" w:cs="Arial"/>
                <w:lang w:val="fr-CA"/>
              </w:rPr>
            </w:pPr>
          </w:p>
        </w:tc>
      </w:tr>
      <w:tr w:rsidR="00EE4EBA" w:rsidRPr="006D2A16" w14:paraId="2EF4BFD9" w14:textId="77777777" w:rsidTr="006D2A16">
        <w:trPr>
          <w:gridAfter w:val="1"/>
          <w:wAfter w:w="3" w:type="pct"/>
        </w:trPr>
        <w:tc>
          <w:tcPr>
            <w:tcW w:w="3293" w:type="pct"/>
          </w:tcPr>
          <w:p w14:paraId="31BCDE49" w14:textId="13679116" w:rsidR="00EE4EBA" w:rsidRPr="006D2A16" w:rsidRDefault="00A85F8B" w:rsidP="00D73131">
            <w:pPr>
              <w:pStyle w:val="BodyText"/>
              <w:ind w:right="127"/>
              <w:rPr>
                <w:rFonts w:ascii="Arial" w:hAnsi="Arial" w:cs="Arial"/>
                <w:sz w:val="20"/>
                <w:szCs w:val="20"/>
                <w:lang w:val="fr-CA"/>
              </w:rPr>
            </w:pPr>
            <w:r w:rsidRPr="006D2A16">
              <w:rPr>
                <w:rFonts w:ascii="Arial" w:hAnsi="Arial" w:cs="Arial"/>
                <w:sz w:val="20"/>
                <w:szCs w:val="20"/>
                <w:lang w:val="fr-CA"/>
              </w:rPr>
              <w:t>Les intervenants estiment que si une signature du client constitue la meilleure façon d’attester que le document d’information sur le risque associé à l’effet de levier a été reçu, il</w:t>
            </w:r>
            <w:r w:rsidR="006D2A16">
              <w:rPr>
                <w:rFonts w:ascii="Arial" w:hAnsi="Arial" w:cs="Arial"/>
                <w:sz w:val="20"/>
                <w:szCs w:val="20"/>
                <w:lang w:val="fr-CA"/>
              </w:rPr>
              <w:t> </w:t>
            </w:r>
            <w:r w:rsidRPr="006D2A16">
              <w:rPr>
                <w:rFonts w:ascii="Arial" w:hAnsi="Arial" w:cs="Arial"/>
                <w:sz w:val="20"/>
                <w:szCs w:val="20"/>
                <w:lang w:val="fr-CA"/>
              </w:rPr>
              <w:t>faudrait songer à fournir des orientations supplémentaires au sujet des documents et signatures électroniques.</w:t>
            </w:r>
          </w:p>
          <w:p w14:paraId="179C1D13" w14:textId="77777777" w:rsidR="00EE4EBA" w:rsidRPr="006D2A16" w:rsidRDefault="00EE4EBA" w:rsidP="00D73131">
            <w:pPr>
              <w:pStyle w:val="BodyText"/>
              <w:ind w:left="107" w:right="197"/>
              <w:rPr>
                <w:rFonts w:ascii="Arial" w:hAnsi="Arial" w:cs="Arial"/>
                <w:sz w:val="20"/>
                <w:szCs w:val="20"/>
                <w:lang w:val="fr-CA"/>
              </w:rPr>
            </w:pPr>
          </w:p>
        </w:tc>
        <w:tc>
          <w:tcPr>
            <w:tcW w:w="1704" w:type="pct"/>
            <w:vMerge w:val="restart"/>
          </w:tcPr>
          <w:p w14:paraId="5B1425A3" w14:textId="026817AB" w:rsidR="00EE4EBA" w:rsidRPr="006D2A16" w:rsidRDefault="00A85F8B" w:rsidP="002B2660">
            <w:pPr>
              <w:pStyle w:val="BodyText"/>
              <w:ind w:right="185"/>
              <w:rPr>
                <w:rFonts w:ascii="Arial" w:hAnsi="Arial" w:cs="Arial"/>
                <w:sz w:val="20"/>
                <w:szCs w:val="20"/>
                <w:lang w:val="fr-CA"/>
              </w:rPr>
            </w:pPr>
            <w:r w:rsidRPr="006D2A16">
              <w:rPr>
                <w:rFonts w:ascii="Arial" w:hAnsi="Arial" w:cs="Arial"/>
                <w:sz w:val="20"/>
                <w:szCs w:val="20"/>
                <w:lang w:val="fr-CA"/>
              </w:rPr>
              <w:t>Afin d’assurer la compatibilité avec les autres Règles des courtiers membres, nous avons modifié ce paragraphe afin de permettre que l’accusé de réception soit obtenu verbalement ou par écrit. Bien qu’une signature du client soit préférable, elle ne constitue pas la seule façon d’obtenir l’accusé de réception du client. Une conversation téléphonique documentée, l’enregistrement d’une confirmation verbale, ou un courriel ou une lettre du client par lequel il accuse réception de l’information constituent d’autres moyens acceptables.</w:t>
            </w:r>
          </w:p>
        </w:tc>
      </w:tr>
      <w:tr w:rsidR="00EE4EBA" w:rsidRPr="006D2A16" w14:paraId="16EA7493" w14:textId="77777777" w:rsidTr="002B2660">
        <w:trPr>
          <w:gridAfter w:val="1"/>
          <w:wAfter w:w="3" w:type="pct"/>
          <w:trHeight w:val="2015"/>
        </w:trPr>
        <w:tc>
          <w:tcPr>
            <w:tcW w:w="3293" w:type="pct"/>
          </w:tcPr>
          <w:p w14:paraId="61A98D31" w14:textId="440403B9" w:rsidR="00EE4EBA" w:rsidRPr="006D2A16" w:rsidRDefault="00A85F8B" w:rsidP="00D73131">
            <w:pPr>
              <w:pStyle w:val="BodyText"/>
              <w:ind w:right="430"/>
              <w:rPr>
                <w:rFonts w:ascii="Arial" w:hAnsi="Arial" w:cs="Arial"/>
                <w:sz w:val="20"/>
                <w:szCs w:val="20"/>
                <w:lang w:val="fr-CA"/>
              </w:rPr>
            </w:pPr>
            <w:r w:rsidRPr="006D2A16">
              <w:rPr>
                <w:rFonts w:ascii="Arial" w:hAnsi="Arial" w:cs="Arial"/>
                <w:sz w:val="20"/>
                <w:szCs w:val="20"/>
                <w:lang w:val="fr-CA"/>
              </w:rPr>
              <w:t>Un intervenant recommande que l’OCRCVM songe à permettre l’utilisation d’autres moyens acceptables pour confirmer que le document a été remis au client et reçu par celui-ci. En effet, il arrive parfois que le client transmette au représentant du courtier membre de l’information sur l’utilisation des fonds empruntés par téléphone ou par courriel.</w:t>
            </w:r>
          </w:p>
          <w:p w14:paraId="093E2A0D" w14:textId="77777777" w:rsidR="00EE4EBA" w:rsidRPr="006D2A16" w:rsidRDefault="00EE4EBA" w:rsidP="00D73131">
            <w:pPr>
              <w:pStyle w:val="BodyText"/>
              <w:ind w:left="107" w:right="197"/>
              <w:rPr>
                <w:rFonts w:ascii="Arial" w:hAnsi="Arial" w:cs="Arial"/>
                <w:sz w:val="20"/>
                <w:szCs w:val="20"/>
                <w:lang w:val="fr-CA"/>
              </w:rPr>
            </w:pPr>
          </w:p>
        </w:tc>
        <w:tc>
          <w:tcPr>
            <w:tcW w:w="1704" w:type="pct"/>
            <w:vMerge/>
          </w:tcPr>
          <w:p w14:paraId="30DFDB3D" w14:textId="77777777" w:rsidR="00EE4EBA" w:rsidRPr="006D2A16" w:rsidRDefault="00EE4EBA" w:rsidP="00D73131">
            <w:pPr>
              <w:pStyle w:val="BodyText"/>
              <w:ind w:left="107" w:right="138"/>
              <w:rPr>
                <w:rFonts w:ascii="Arial" w:hAnsi="Arial" w:cs="Arial"/>
                <w:sz w:val="20"/>
                <w:szCs w:val="20"/>
                <w:lang w:val="fr-CA"/>
              </w:rPr>
            </w:pPr>
          </w:p>
        </w:tc>
      </w:tr>
      <w:tr w:rsidR="00CF6C89" w:rsidRPr="006D2A16" w14:paraId="2DF95121" w14:textId="77777777" w:rsidTr="006D2A16">
        <w:tc>
          <w:tcPr>
            <w:tcW w:w="5000" w:type="pct"/>
            <w:gridSpan w:val="3"/>
            <w:shd w:val="clear" w:color="auto" w:fill="FDE9D9" w:themeFill="accent6" w:themeFillTint="33"/>
          </w:tcPr>
          <w:p w14:paraId="213896AB" w14:textId="77777777" w:rsidR="00CF6C89" w:rsidRDefault="00CF6C89" w:rsidP="00D73131">
            <w:pPr>
              <w:pStyle w:val="BodyText"/>
              <w:rPr>
                <w:rFonts w:ascii="Arial" w:hAnsi="Arial" w:cs="Arial"/>
                <w:sz w:val="20"/>
                <w:lang w:val="fr-CA"/>
              </w:rPr>
            </w:pPr>
            <w:r w:rsidRPr="006D2A16">
              <w:rPr>
                <w:rFonts w:ascii="Arial" w:hAnsi="Arial" w:cs="Arial"/>
                <w:sz w:val="20"/>
                <w:u w:val="single"/>
                <w:lang w:val="fr-CA"/>
              </w:rPr>
              <w:t>Paragraphe 3220(4)</w:t>
            </w:r>
            <w:r w:rsidRPr="006D2A16">
              <w:rPr>
                <w:rFonts w:ascii="Arial" w:hAnsi="Arial" w:cs="Arial"/>
                <w:sz w:val="20"/>
                <w:lang w:val="fr-CA"/>
              </w:rPr>
              <w:t xml:space="preserve"> – Exigences associées aux comptes de clients – Tenue de dossiers</w:t>
            </w:r>
          </w:p>
          <w:p w14:paraId="6C770B4C" w14:textId="2F2E607E" w:rsidR="00CF6C89" w:rsidRPr="006D2A16" w:rsidRDefault="00CF6C89" w:rsidP="00D73131">
            <w:pPr>
              <w:pStyle w:val="BodyText"/>
              <w:rPr>
                <w:rFonts w:ascii="Arial" w:hAnsi="Arial" w:cs="Arial"/>
                <w:lang w:val="fr-CA"/>
              </w:rPr>
            </w:pPr>
          </w:p>
        </w:tc>
      </w:tr>
      <w:tr w:rsidR="00EE4EBA" w:rsidRPr="006D2A16" w14:paraId="09A7D351" w14:textId="77777777" w:rsidTr="006D2A16">
        <w:trPr>
          <w:gridAfter w:val="1"/>
          <w:wAfter w:w="3" w:type="pct"/>
        </w:trPr>
        <w:tc>
          <w:tcPr>
            <w:tcW w:w="3293" w:type="pct"/>
          </w:tcPr>
          <w:p w14:paraId="2781F267" w14:textId="17BA5A25" w:rsidR="00EE4EBA" w:rsidRPr="006D2A16" w:rsidRDefault="00A85F8B" w:rsidP="00D73131">
            <w:pPr>
              <w:pStyle w:val="BodyText"/>
              <w:ind w:right="397"/>
              <w:rPr>
                <w:rFonts w:ascii="Arial" w:hAnsi="Arial" w:cs="Arial"/>
                <w:sz w:val="20"/>
                <w:lang w:val="fr-CA"/>
              </w:rPr>
            </w:pPr>
            <w:r w:rsidRPr="006D2A16">
              <w:rPr>
                <w:rFonts w:ascii="Arial" w:hAnsi="Arial" w:cs="Arial"/>
                <w:sz w:val="20"/>
                <w:lang w:val="fr-CA"/>
              </w:rPr>
              <w:t>Les intervenants soulignent que même si les courtiers membres dressent une liste des personnes qui disposent d’une autorisation d’effectuer des opérations dans un compte afin de se conformer aux règles sur la lutte contre le blanchiment d’argent, rien ne les oblige actuellement à vérifier si ces personnes disposent d’une autorisation d’effectuer des opérations dans plusieurs comptes.</w:t>
            </w:r>
          </w:p>
          <w:p w14:paraId="1BC7302E" w14:textId="77777777" w:rsidR="00EE4EBA" w:rsidRPr="006D2A16" w:rsidRDefault="00EE4EBA" w:rsidP="00D73131">
            <w:pPr>
              <w:pStyle w:val="BodyText"/>
              <w:ind w:left="107" w:right="197"/>
              <w:rPr>
                <w:rFonts w:ascii="Arial" w:hAnsi="Arial" w:cs="Arial"/>
                <w:sz w:val="20"/>
                <w:lang w:val="fr-CA"/>
              </w:rPr>
            </w:pPr>
          </w:p>
        </w:tc>
        <w:tc>
          <w:tcPr>
            <w:tcW w:w="1704" w:type="pct"/>
            <w:vMerge w:val="restart"/>
          </w:tcPr>
          <w:p w14:paraId="4ABC3DE7" w14:textId="7BBB19BE" w:rsidR="00EE4EBA" w:rsidRPr="006D2A16" w:rsidRDefault="00A85F8B" w:rsidP="00D73131">
            <w:pPr>
              <w:pStyle w:val="BodyText"/>
              <w:rPr>
                <w:rFonts w:ascii="Arial" w:hAnsi="Arial" w:cs="Arial"/>
                <w:sz w:val="20"/>
                <w:lang w:val="fr-CA"/>
              </w:rPr>
            </w:pPr>
            <w:r w:rsidRPr="006D2A16">
              <w:rPr>
                <w:rFonts w:ascii="Arial" w:hAnsi="Arial" w:cs="Arial"/>
                <w:sz w:val="20"/>
                <w:lang w:val="fr-CA"/>
              </w:rPr>
              <w:t xml:space="preserve">Les courtiers membres sont déjà tenus de recueillir ces renseignements en vertu de la réglementation fédérale sur le blanchiment d’argent et le financement des activités terroristes. Nous reconnaissons toutefois qu’ils pourraient devoir modifier leurs systèmes ou processus en place. Par conséquent, nous prévoyons accorder aux courtiers membres une période transitoire de </w:t>
            </w:r>
            <w:r w:rsidR="00F804F6" w:rsidRPr="006D2A16">
              <w:rPr>
                <w:rFonts w:ascii="Arial" w:hAnsi="Arial" w:cs="Arial"/>
                <w:sz w:val="20"/>
                <w:lang w:val="fr-CA"/>
              </w:rPr>
              <w:t>12 </w:t>
            </w:r>
            <w:r w:rsidRPr="006D2A16">
              <w:rPr>
                <w:rFonts w:ascii="Arial" w:hAnsi="Arial" w:cs="Arial"/>
                <w:sz w:val="20"/>
                <w:lang w:val="fr-CA"/>
              </w:rPr>
              <w:t>mois</w:t>
            </w:r>
            <w:r w:rsidR="00F804F6" w:rsidRPr="006D2A16">
              <w:rPr>
                <w:rFonts w:ascii="Arial" w:hAnsi="Arial" w:cs="Arial"/>
                <w:sz w:val="20"/>
                <w:lang w:val="fr-CA"/>
              </w:rPr>
              <w:t xml:space="preserve"> à partir de la date de l’avis de mise en </w:t>
            </w:r>
            <w:r w:rsidR="00F24981" w:rsidRPr="006D2A16">
              <w:rPr>
                <w:rFonts w:ascii="Arial" w:hAnsi="Arial" w:cs="Arial"/>
                <w:sz w:val="20"/>
                <w:lang w:val="fr-CA"/>
              </w:rPr>
              <w:t>œ</w:t>
            </w:r>
            <w:r w:rsidR="00F804F6" w:rsidRPr="006D2A16">
              <w:rPr>
                <w:rFonts w:ascii="Arial" w:hAnsi="Arial" w:cs="Arial"/>
                <w:sz w:val="20"/>
                <w:lang w:val="fr-CA"/>
              </w:rPr>
              <w:t>uvre</w:t>
            </w:r>
            <w:r w:rsidRPr="006D2A16">
              <w:rPr>
                <w:rFonts w:ascii="Arial" w:hAnsi="Arial" w:cs="Arial"/>
                <w:sz w:val="20"/>
                <w:lang w:val="fr-CA"/>
              </w:rPr>
              <w:t>.</w:t>
            </w:r>
            <w:r w:rsidR="00F804F6" w:rsidRPr="006D2A16">
              <w:rPr>
                <w:rFonts w:ascii="Arial" w:hAnsi="Arial" w:cs="Arial"/>
                <w:sz w:val="20"/>
                <w:lang w:val="fr-CA"/>
              </w:rPr>
              <w:t xml:space="preserve"> </w:t>
            </w:r>
          </w:p>
          <w:p w14:paraId="7D5FF3E1" w14:textId="20875E14" w:rsidR="00EE4EBA" w:rsidRPr="006D2A16" w:rsidRDefault="00EE4EBA" w:rsidP="00D73131">
            <w:pPr>
              <w:pStyle w:val="BodyText"/>
              <w:ind w:right="252"/>
              <w:rPr>
                <w:rFonts w:ascii="Arial" w:hAnsi="Arial" w:cs="Arial"/>
                <w:sz w:val="20"/>
                <w:lang w:val="fr-CA"/>
              </w:rPr>
            </w:pPr>
          </w:p>
          <w:p w14:paraId="4A4C1771" w14:textId="656CD581" w:rsidR="00EE4EBA" w:rsidRPr="006D2A16" w:rsidRDefault="00A85F8B" w:rsidP="00D73131">
            <w:pPr>
              <w:pStyle w:val="BodyText"/>
              <w:ind w:right="130"/>
              <w:rPr>
                <w:rFonts w:ascii="Arial" w:hAnsi="Arial" w:cs="Arial"/>
                <w:sz w:val="20"/>
                <w:lang w:val="fr-CA"/>
              </w:rPr>
            </w:pPr>
            <w:r w:rsidRPr="006D2A16">
              <w:rPr>
                <w:rFonts w:ascii="Arial" w:hAnsi="Arial" w:cs="Arial"/>
                <w:sz w:val="20"/>
                <w:lang w:val="fr-CA"/>
              </w:rPr>
              <w:t>Les renseignements que les courtiers membres recueillent sur l’autorisation d’effectuer des opérations aideront les autorités de réglementation à détecter les activités de négociation ou de conseil exercées par des personnes non inscrites.</w:t>
            </w:r>
          </w:p>
          <w:p w14:paraId="439015F9" w14:textId="77777777" w:rsidR="00EE4EBA" w:rsidRPr="006D2A16" w:rsidRDefault="00EE4EBA" w:rsidP="00D73131">
            <w:pPr>
              <w:pStyle w:val="BodyText"/>
              <w:ind w:right="138"/>
              <w:rPr>
                <w:rFonts w:ascii="Arial" w:hAnsi="Arial" w:cs="Arial"/>
                <w:sz w:val="20"/>
                <w:lang w:val="fr-CA"/>
              </w:rPr>
            </w:pPr>
          </w:p>
        </w:tc>
      </w:tr>
      <w:tr w:rsidR="00EE4EBA" w:rsidRPr="006D2A16" w14:paraId="398DC27F" w14:textId="77777777" w:rsidTr="006D2A16">
        <w:trPr>
          <w:gridAfter w:val="1"/>
          <w:wAfter w:w="3" w:type="pct"/>
        </w:trPr>
        <w:tc>
          <w:tcPr>
            <w:tcW w:w="3293" w:type="pct"/>
          </w:tcPr>
          <w:p w14:paraId="1D0528AB" w14:textId="316AB5D8" w:rsidR="00EE4EBA" w:rsidRPr="006D2A16" w:rsidRDefault="00A85F8B" w:rsidP="00D73131">
            <w:pPr>
              <w:pStyle w:val="BodyText"/>
              <w:ind w:right="163"/>
              <w:rPr>
                <w:rFonts w:ascii="Arial" w:hAnsi="Arial" w:cs="Arial"/>
                <w:sz w:val="20"/>
                <w:lang w:val="fr-CA"/>
              </w:rPr>
            </w:pPr>
            <w:r w:rsidRPr="006D2A16">
              <w:rPr>
                <w:rFonts w:ascii="Arial" w:hAnsi="Arial" w:cs="Arial"/>
                <w:sz w:val="20"/>
                <w:lang w:val="fr-CA"/>
              </w:rPr>
              <w:t>Certains intervenants ne comprennent pas pourquoi les courtiers membres seraient tenus de vérifier si un tiers qui n’est pas réglementé par l’OCRCVM a contrevenu aux lois sur les valeurs mobilières. La règle, telle qu’elle est rédigée, implique que les courtiers membres ont des responsabilités supplémentaires relativement à la collecte et à l’utilisation de ces renseignements, mais n’explique pas suffisamment ce que les courtiers membres sont censés faire pour se conformer aux exigences.</w:t>
            </w:r>
          </w:p>
          <w:p w14:paraId="5BF8735D" w14:textId="2093FE0D" w:rsidR="00EE4EBA" w:rsidRPr="006D2A16" w:rsidRDefault="00EE4EBA" w:rsidP="00D73131">
            <w:pPr>
              <w:pStyle w:val="BodyText"/>
              <w:ind w:right="97"/>
              <w:rPr>
                <w:rFonts w:ascii="Arial" w:hAnsi="Arial" w:cs="Arial"/>
                <w:sz w:val="20"/>
                <w:lang w:val="fr-CA"/>
              </w:rPr>
            </w:pPr>
          </w:p>
          <w:p w14:paraId="5AF37678" w14:textId="77777777" w:rsidR="00EE4EBA" w:rsidRPr="006D2A16" w:rsidRDefault="00EE4EBA" w:rsidP="00D73131">
            <w:pPr>
              <w:pStyle w:val="BodyText"/>
              <w:ind w:left="107" w:right="197"/>
              <w:rPr>
                <w:rFonts w:ascii="Arial" w:hAnsi="Arial" w:cs="Arial"/>
                <w:sz w:val="20"/>
                <w:lang w:val="fr-CA"/>
              </w:rPr>
            </w:pPr>
          </w:p>
        </w:tc>
        <w:tc>
          <w:tcPr>
            <w:tcW w:w="1704" w:type="pct"/>
            <w:vMerge/>
          </w:tcPr>
          <w:p w14:paraId="4914AF16" w14:textId="77777777" w:rsidR="00EE4EBA" w:rsidRPr="006D2A16" w:rsidRDefault="00EE4EBA" w:rsidP="00D73131">
            <w:pPr>
              <w:pStyle w:val="BodyText"/>
              <w:ind w:left="107" w:right="138"/>
              <w:rPr>
                <w:rFonts w:ascii="Arial" w:hAnsi="Arial" w:cs="Arial"/>
                <w:sz w:val="20"/>
                <w:lang w:val="fr-CA"/>
              </w:rPr>
            </w:pPr>
          </w:p>
        </w:tc>
      </w:tr>
      <w:tr w:rsidR="00EE4EBA" w:rsidRPr="006D2A16" w14:paraId="1768B434" w14:textId="77777777" w:rsidTr="006D2A16">
        <w:trPr>
          <w:gridAfter w:val="1"/>
          <w:wAfter w:w="3" w:type="pct"/>
        </w:trPr>
        <w:tc>
          <w:tcPr>
            <w:tcW w:w="3293" w:type="pct"/>
          </w:tcPr>
          <w:p w14:paraId="4449C218" w14:textId="231D2945" w:rsidR="00EE4EBA" w:rsidRPr="006D2A16" w:rsidRDefault="00A85F8B" w:rsidP="00D73131">
            <w:pPr>
              <w:pStyle w:val="BodyText"/>
              <w:ind w:right="264"/>
              <w:rPr>
                <w:rFonts w:ascii="Arial" w:hAnsi="Arial" w:cs="Arial"/>
                <w:sz w:val="20"/>
                <w:lang w:val="fr-CA"/>
              </w:rPr>
            </w:pPr>
            <w:r w:rsidRPr="006D2A16">
              <w:rPr>
                <w:rFonts w:ascii="Arial" w:hAnsi="Arial" w:cs="Arial"/>
                <w:sz w:val="20"/>
                <w:lang w:val="fr-CA"/>
              </w:rPr>
              <w:t>Les intervenants indiquent que la Commission des valeurs mobilières de la Colombie-Britannique a, par le passé, publié un avis dans lequel elle disait s’attendre à ce que les personnes inscrites l’informent si une personne non inscrite disposait d’une autorisation d’effectuer des opérations dans plusieurs comptes mais que cet avis a par la suite été retiré, vraisemblablement parce qu’il était déraisonnable d’imposer cette obligation aux personnes inscrites. Ces intervenants recommandent que la nouvelle exigence proposée soit elle aussi retirée des RLS.</w:t>
            </w:r>
          </w:p>
          <w:p w14:paraId="7150D2AE" w14:textId="77777777" w:rsidR="00EE4EBA" w:rsidRPr="006D2A16" w:rsidRDefault="00EE4EBA" w:rsidP="00D73131">
            <w:pPr>
              <w:pStyle w:val="BodyText"/>
              <w:ind w:left="107" w:right="197"/>
              <w:rPr>
                <w:rFonts w:ascii="Arial" w:hAnsi="Arial" w:cs="Arial"/>
                <w:sz w:val="20"/>
                <w:lang w:val="fr-CA"/>
              </w:rPr>
            </w:pPr>
          </w:p>
        </w:tc>
        <w:tc>
          <w:tcPr>
            <w:tcW w:w="1704" w:type="pct"/>
            <w:vMerge/>
          </w:tcPr>
          <w:p w14:paraId="44AF62A9" w14:textId="77777777" w:rsidR="00EE4EBA" w:rsidRPr="006D2A16" w:rsidRDefault="00EE4EBA" w:rsidP="00D73131">
            <w:pPr>
              <w:pStyle w:val="BodyText"/>
              <w:ind w:left="107" w:right="138"/>
              <w:rPr>
                <w:rFonts w:ascii="Arial" w:hAnsi="Arial" w:cs="Arial"/>
                <w:sz w:val="20"/>
                <w:lang w:val="fr-CA"/>
              </w:rPr>
            </w:pPr>
          </w:p>
        </w:tc>
      </w:tr>
      <w:tr w:rsidR="00EE4EBA" w:rsidRPr="006D2A16" w14:paraId="3DAF6164" w14:textId="77777777" w:rsidTr="006D2A16">
        <w:trPr>
          <w:gridAfter w:val="1"/>
          <w:wAfter w:w="3" w:type="pct"/>
        </w:trPr>
        <w:tc>
          <w:tcPr>
            <w:tcW w:w="3293" w:type="pct"/>
          </w:tcPr>
          <w:p w14:paraId="25829C0A" w14:textId="206D64E9" w:rsidR="00EE4EBA" w:rsidRPr="006D2A16" w:rsidRDefault="00A85F8B" w:rsidP="00D73131">
            <w:pPr>
              <w:pStyle w:val="BodyText"/>
              <w:ind w:right="230"/>
              <w:rPr>
                <w:rFonts w:ascii="Arial" w:hAnsi="Arial" w:cs="Arial"/>
                <w:sz w:val="20"/>
                <w:szCs w:val="20"/>
                <w:lang w:val="fr-CA"/>
              </w:rPr>
            </w:pPr>
            <w:r w:rsidRPr="006D2A16">
              <w:rPr>
                <w:rFonts w:ascii="Arial" w:hAnsi="Arial" w:cs="Arial"/>
                <w:sz w:val="20"/>
                <w:szCs w:val="20"/>
                <w:lang w:val="fr-CA"/>
              </w:rPr>
              <w:t>Quelques intervenants estiment qu’il s’agit d’un changement important et qu’une période transitoire de deux ans (à compter de la publication de la version définitive de la règle) serait nécessaire pour modifier les systèmes et processus internes.</w:t>
            </w:r>
          </w:p>
          <w:p w14:paraId="746C32D5" w14:textId="77777777" w:rsidR="00EE4EBA" w:rsidRPr="006D2A16" w:rsidRDefault="00EE4EBA" w:rsidP="00D73131">
            <w:pPr>
              <w:pStyle w:val="BodyText"/>
              <w:ind w:left="107" w:right="197"/>
              <w:rPr>
                <w:rFonts w:ascii="Arial" w:hAnsi="Arial" w:cs="Arial"/>
                <w:sz w:val="20"/>
                <w:szCs w:val="20"/>
                <w:lang w:val="fr-CA"/>
              </w:rPr>
            </w:pPr>
          </w:p>
        </w:tc>
        <w:tc>
          <w:tcPr>
            <w:tcW w:w="1704" w:type="pct"/>
            <w:vMerge/>
          </w:tcPr>
          <w:p w14:paraId="75E718CD" w14:textId="77777777" w:rsidR="00EE4EBA" w:rsidRPr="006D2A16" w:rsidRDefault="00EE4EBA" w:rsidP="00D73131">
            <w:pPr>
              <w:pStyle w:val="BodyText"/>
              <w:ind w:left="107" w:right="138"/>
              <w:rPr>
                <w:rFonts w:ascii="Arial" w:hAnsi="Arial" w:cs="Arial"/>
                <w:sz w:val="20"/>
                <w:szCs w:val="20"/>
                <w:lang w:val="fr-CA"/>
              </w:rPr>
            </w:pPr>
          </w:p>
        </w:tc>
      </w:tr>
      <w:tr w:rsidR="00EE4EBA" w:rsidRPr="006D2A16" w14:paraId="5AA725B0" w14:textId="77777777" w:rsidTr="006D2A16">
        <w:tc>
          <w:tcPr>
            <w:tcW w:w="5000" w:type="pct"/>
            <w:gridSpan w:val="3"/>
            <w:shd w:val="clear" w:color="auto" w:fill="FDE9D9" w:themeFill="accent6" w:themeFillTint="33"/>
          </w:tcPr>
          <w:p w14:paraId="769E8264" w14:textId="77777777" w:rsidR="00EE4EBA" w:rsidRDefault="00E344EE" w:rsidP="00D73131">
            <w:pPr>
              <w:pStyle w:val="BodyText"/>
              <w:rPr>
                <w:rFonts w:ascii="Arial" w:hAnsi="Arial" w:cs="Arial"/>
                <w:sz w:val="20"/>
                <w:szCs w:val="20"/>
                <w:lang w:val="fr-CA"/>
              </w:rPr>
            </w:pPr>
            <w:r w:rsidRPr="006D2A16">
              <w:rPr>
                <w:rFonts w:ascii="Arial" w:hAnsi="Arial" w:cs="Arial"/>
                <w:sz w:val="20"/>
                <w:szCs w:val="20"/>
                <w:u w:val="single"/>
                <w:lang w:val="fr-CA"/>
              </w:rPr>
              <w:t>Article</w:t>
            </w:r>
            <w:r w:rsidR="00EE1F35" w:rsidRPr="006D2A16">
              <w:rPr>
                <w:rFonts w:ascii="Arial" w:hAnsi="Arial" w:cs="Arial"/>
                <w:sz w:val="20"/>
                <w:szCs w:val="20"/>
                <w:u w:val="single"/>
                <w:lang w:val="fr-CA"/>
              </w:rPr>
              <w:t> </w:t>
            </w:r>
            <w:r w:rsidRPr="006D2A16">
              <w:rPr>
                <w:rFonts w:ascii="Arial" w:hAnsi="Arial" w:cs="Arial"/>
                <w:sz w:val="20"/>
                <w:szCs w:val="20"/>
                <w:u w:val="single"/>
                <w:lang w:val="fr-CA"/>
              </w:rPr>
              <w:t>3402</w:t>
            </w:r>
            <w:r w:rsidR="00A85F8B" w:rsidRPr="006D2A16">
              <w:rPr>
                <w:rFonts w:ascii="Arial" w:hAnsi="Arial" w:cs="Arial"/>
                <w:sz w:val="20"/>
                <w:szCs w:val="20"/>
                <w:lang w:val="fr-CA"/>
              </w:rPr>
              <w:t xml:space="preserve"> – Convenance – Obligations liées à la convenance dans le cas de clients de détail</w:t>
            </w:r>
          </w:p>
          <w:p w14:paraId="63CA157C" w14:textId="629B3072" w:rsidR="00CF6C89" w:rsidRPr="006D2A16" w:rsidRDefault="00CF6C89" w:rsidP="00D73131">
            <w:pPr>
              <w:pStyle w:val="BodyText"/>
              <w:rPr>
                <w:rFonts w:ascii="Arial" w:hAnsi="Arial" w:cs="Arial"/>
                <w:sz w:val="20"/>
                <w:szCs w:val="20"/>
                <w:lang w:val="fr-CA"/>
              </w:rPr>
            </w:pPr>
          </w:p>
        </w:tc>
      </w:tr>
      <w:tr w:rsidR="00EE4EBA" w:rsidRPr="006D2A16" w14:paraId="1F08E475" w14:textId="77777777" w:rsidTr="006D2A16">
        <w:trPr>
          <w:gridAfter w:val="1"/>
          <w:wAfter w:w="3" w:type="pct"/>
        </w:trPr>
        <w:tc>
          <w:tcPr>
            <w:tcW w:w="3293" w:type="pct"/>
          </w:tcPr>
          <w:p w14:paraId="4B38F4EA" w14:textId="6D5B14C3" w:rsidR="00EE4EBA" w:rsidRPr="006D2A16" w:rsidRDefault="00A85F8B" w:rsidP="00D73131">
            <w:pPr>
              <w:pStyle w:val="BodyText"/>
              <w:ind w:right="398"/>
              <w:rPr>
                <w:rFonts w:ascii="Arial" w:hAnsi="Arial" w:cs="Arial"/>
                <w:sz w:val="20"/>
                <w:szCs w:val="20"/>
                <w:lang w:val="fr-CA"/>
              </w:rPr>
            </w:pPr>
            <w:r w:rsidRPr="006D2A16">
              <w:rPr>
                <w:rFonts w:ascii="Arial" w:hAnsi="Arial" w:cs="Arial"/>
                <w:sz w:val="20"/>
                <w:szCs w:val="20"/>
                <w:lang w:val="fr-CA"/>
              </w:rPr>
              <w:t>Un intervenant indique que même s’il ne s’oppose pas au projet de modification de cet article, les systèmes et processus internes devront être modifiés pour consigner le nouvel événement déclencheur des obligations liées à la convenance. À l’heure actuelle, le sous-alinéa</w:t>
            </w:r>
            <w:r w:rsidR="00EE1F35" w:rsidRPr="006D2A16">
              <w:rPr>
                <w:rFonts w:ascii="Arial" w:hAnsi="Arial" w:cs="Arial"/>
                <w:sz w:val="20"/>
                <w:szCs w:val="20"/>
                <w:lang w:val="fr-CA"/>
              </w:rPr>
              <w:t> </w:t>
            </w:r>
            <w:r w:rsidRPr="006D2A16">
              <w:rPr>
                <w:rFonts w:ascii="Arial" w:hAnsi="Arial" w:cs="Arial"/>
                <w:sz w:val="20"/>
                <w:szCs w:val="20"/>
                <w:lang w:val="fr-CA"/>
              </w:rPr>
              <w:t>1(r)(i) de la Règle</w:t>
            </w:r>
            <w:r w:rsidR="00EE1F35" w:rsidRPr="006D2A16">
              <w:rPr>
                <w:rFonts w:ascii="Arial" w:hAnsi="Arial" w:cs="Arial"/>
                <w:sz w:val="20"/>
                <w:szCs w:val="20"/>
                <w:lang w:val="fr-CA"/>
              </w:rPr>
              <w:t> </w:t>
            </w:r>
            <w:r w:rsidRPr="006D2A16">
              <w:rPr>
                <w:rFonts w:ascii="Arial" w:hAnsi="Arial" w:cs="Arial"/>
                <w:sz w:val="20"/>
                <w:szCs w:val="20"/>
                <w:lang w:val="fr-CA"/>
              </w:rPr>
              <w:t xml:space="preserve">1300 des courtiers membres exige une évaluation de la convenance seulement lorsque « [d]es titres sont reçus </w:t>
            </w:r>
            <w:r w:rsidRPr="006D2A16">
              <w:rPr>
                <w:rFonts w:ascii="Arial" w:hAnsi="Arial" w:cs="Arial"/>
                <w:i/>
                <w:sz w:val="20"/>
                <w:szCs w:val="20"/>
                <w:lang w:val="fr-CA"/>
              </w:rPr>
              <w:t>dans</w:t>
            </w:r>
            <w:r w:rsidRPr="006D2A16">
              <w:rPr>
                <w:rFonts w:ascii="Arial" w:hAnsi="Arial" w:cs="Arial"/>
                <w:sz w:val="20"/>
                <w:szCs w:val="20"/>
                <w:lang w:val="fr-CA"/>
              </w:rPr>
              <w:t xml:space="preserve"> le compte du client </w:t>
            </w:r>
            <w:r w:rsidRPr="006D2A16">
              <w:rPr>
                <w:rFonts w:ascii="Arial" w:hAnsi="Arial" w:cs="Arial"/>
                <w:i/>
                <w:sz w:val="20"/>
                <w:szCs w:val="20"/>
                <w:lang w:val="fr-CA"/>
              </w:rPr>
              <w:t>par voie de dépôt ou de transfert</w:t>
            </w:r>
            <w:r w:rsidRPr="006D2A16">
              <w:rPr>
                <w:rFonts w:ascii="Arial" w:hAnsi="Arial" w:cs="Arial"/>
                <w:sz w:val="20"/>
                <w:szCs w:val="20"/>
                <w:lang w:val="fr-CA"/>
              </w:rPr>
              <w:t xml:space="preserve"> ». En revanche, la nouvelle règle proposée exigerait une évaluation de la convenance lorsque « des titres sont </w:t>
            </w:r>
            <w:r w:rsidRPr="006D2A16">
              <w:rPr>
                <w:rFonts w:ascii="Arial" w:hAnsi="Arial" w:cs="Arial"/>
                <w:i/>
                <w:sz w:val="20"/>
                <w:szCs w:val="20"/>
                <w:lang w:val="fr-CA"/>
              </w:rPr>
              <w:t>reçus</w:t>
            </w:r>
            <w:r w:rsidRPr="006D2A16">
              <w:rPr>
                <w:rFonts w:ascii="Arial" w:hAnsi="Arial" w:cs="Arial"/>
                <w:sz w:val="20"/>
                <w:szCs w:val="20"/>
                <w:lang w:val="fr-CA"/>
              </w:rPr>
              <w:t xml:space="preserve"> dans le compte du client ou </w:t>
            </w:r>
            <w:r w:rsidRPr="006D2A16">
              <w:rPr>
                <w:rFonts w:ascii="Arial" w:hAnsi="Arial" w:cs="Arial"/>
                <w:i/>
                <w:sz w:val="20"/>
                <w:szCs w:val="20"/>
                <w:lang w:val="fr-CA"/>
              </w:rPr>
              <w:t>prélevés</w:t>
            </w:r>
            <w:r w:rsidRPr="006D2A16">
              <w:rPr>
                <w:rFonts w:ascii="Arial" w:hAnsi="Arial" w:cs="Arial"/>
                <w:sz w:val="20"/>
                <w:szCs w:val="20"/>
                <w:lang w:val="fr-CA"/>
              </w:rPr>
              <w:t xml:space="preserve"> de ce compte ».</w:t>
            </w:r>
          </w:p>
          <w:p w14:paraId="7556727B" w14:textId="77777777" w:rsidR="00EE4EBA" w:rsidRPr="006D2A16" w:rsidRDefault="00EE4EBA" w:rsidP="00D73131">
            <w:pPr>
              <w:pStyle w:val="BodyText"/>
              <w:ind w:left="107" w:right="197"/>
              <w:rPr>
                <w:rFonts w:ascii="Arial" w:hAnsi="Arial" w:cs="Arial"/>
                <w:sz w:val="20"/>
                <w:szCs w:val="20"/>
                <w:lang w:val="fr-CA"/>
              </w:rPr>
            </w:pPr>
          </w:p>
        </w:tc>
        <w:tc>
          <w:tcPr>
            <w:tcW w:w="1704" w:type="pct"/>
          </w:tcPr>
          <w:p w14:paraId="50C5E370" w14:textId="1E42484E" w:rsidR="00EE4EBA" w:rsidRPr="006D2A16" w:rsidRDefault="00A85F8B" w:rsidP="00D73131">
            <w:pPr>
              <w:pStyle w:val="BodyText"/>
              <w:rPr>
                <w:rFonts w:ascii="Arial" w:hAnsi="Arial" w:cs="Arial"/>
                <w:sz w:val="20"/>
                <w:szCs w:val="20"/>
                <w:lang w:val="fr-CA"/>
              </w:rPr>
            </w:pPr>
            <w:r w:rsidRPr="006D2A16">
              <w:rPr>
                <w:rFonts w:ascii="Arial" w:hAnsi="Arial" w:cs="Arial"/>
                <w:sz w:val="20"/>
                <w:szCs w:val="20"/>
                <w:lang w:val="fr-CA"/>
              </w:rPr>
              <w:t>Nous vous remercions pour vos commentaires.</w:t>
            </w:r>
          </w:p>
          <w:p w14:paraId="52B33254" w14:textId="77777777" w:rsidR="00EE4EBA" w:rsidRPr="006D2A16" w:rsidRDefault="00EE4EBA" w:rsidP="00D73131">
            <w:pPr>
              <w:pStyle w:val="BodyText"/>
              <w:rPr>
                <w:rFonts w:ascii="Arial" w:hAnsi="Arial" w:cs="Arial"/>
                <w:sz w:val="20"/>
                <w:szCs w:val="20"/>
                <w:lang w:val="fr-CA"/>
              </w:rPr>
            </w:pPr>
          </w:p>
          <w:p w14:paraId="1072CC00" w14:textId="77777777" w:rsidR="00EE4EBA" w:rsidRPr="006D2A16" w:rsidRDefault="00EE4EBA" w:rsidP="00A1651A">
            <w:pPr>
              <w:pStyle w:val="BodyText"/>
              <w:ind w:right="263"/>
              <w:rPr>
                <w:rFonts w:ascii="Arial" w:hAnsi="Arial" w:cs="Arial"/>
                <w:sz w:val="20"/>
                <w:szCs w:val="20"/>
                <w:lang w:val="fr-CA"/>
              </w:rPr>
            </w:pPr>
          </w:p>
        </w:tc>
      </w:tr>
      <w:tr w:rsidR="00EE4EBA" w:rsidRPr="006D2A16" w14:paraId="5682CDFF" w14:textId="77777777" w:rsidTr="006D2A16">
        <w:tc>
          <w:tcPr>
            <w:tcW w:w="5000" w:type="pct"/>
            <w:gridSpan w:val="3"/>
            <w:shd w:val="clear" w:color="auto" w:fill="FDE9D9" w:themeFill="accent6" w:themeFillTint="33"/>
          </w:tcPr>
          <w:p w14:paraId="28E7D6C0" w14:textId="77777777" w:rsidR="00EE4EBA" w:rsidRDefault="00BA401B" w:rsidP="00D73131">
            <w:pPr>
              <w:pStyle w:val="BodyText"/>
              <w:rPr>
                <w:rFonts w:ascii="Arial" w:hAnsi="Arial" w:cs="Arial"/>
                <w:sz w:val="20"/>
                <w:szCs w:val="20"/>
                <w:u w:val="single"/>
                <w:lang w:val="fr-CA"/>
              </w:rPr>
            </w:pPr>
            <w:r w:rsidRPr="006D2A16">
              <w:rPr>
                <w:rFonts w:ascii="Arial" w:hAnsi="Arial" w:cs="Arial"/>
                <w:sz w:val="20"/>
                <w:szCs w:val="20"/>
                <w:u w:val="single"/>
                <w:lang w:val="fr-CA"/>
              </w:rPr>
              <w:t>Article</w:t>
            </w:r>
            <w:r w:rsidR="00EE1F35" w:rsidRPr="006D2A16">
              <w:rPr>
                <w:rFonts w:ascii="Arial" w:hAnsi="Arial" w:cs="Arial"/>
                <w:sz w:val="20"/>
                <w:szCs w:val="20"/>
                <w:u w:val="single"/>
                <w:lang w:val="fr-CA"/>
              </w:rPr>
              <w:t> </w:t>
            </w:r>
            <w:r w:rsidRPr="006D2A16">
              <w:rPr>
                <w:rFonts w:ascii="Arial" w:hAnsi="Arial" w:cs="Arial"/>
                <w:sz w:val="20"/>
                <w:szCs w:val="20"/>
                <w:u w:val="single"/>
                <w:lang w:val="fr-CA"/>
              </w:rPr>
              <w:t>3503</w:t>
            </w:r>
            <w:r w:rsidR="00A85F8B" w:rsidRPr="006D2A16">
              <w:rPr>
                <w:rFonts w:ascii="Arial" w:hAnsi="Arial" w:cs="Arial"/>
                <w:sz w:val="20"/>
                <w:szCs w:val="20"/>
                <w:u w:val="single"/>
                <w:lang w:val="fr-CA"/>
              </w:rPr>
              <w:t xml:space="preserve"> – Pratiques commerciales liées aux ventes – Priorité accordée au client</w:t>
            </w:r>
          </w:p>
          <w:p w14:paraId="1C2BC720" w14:textId="11E21261" w:rsidR="00CF6C89" w:rsidRPr="006D2A16" w:rsidRDefault="00CF6C89" w:rsidP="00D73131">
            <w:pPr>
              <w:pStyle w:val="BodyText"/>
              <w:rPr>
                <w:rFonts w:ascii="Arial" w:hAnsi="Arial" w:cs="Arial"/>
                <w:sz w:val="20"/>
                <w:szCs w:val="20"/>
                <w:lang w:val="fr-CA"/>
              </w:rPr>
            </w:pPr>
          </w:p>
        </w:tc>
      </w:tr>
      <w:tr w:rsidR="00EE4EBA" w:rsidRPr="006D2A16" w14:paraId="512375E1" w14:textId="77777777" w:rsidTr="006D2A16">
        <w:trPr>
          <w:gridAfter w:val="1"/>
          <w:wAfter w:w="3" w:type="pct"/>
        </w:trPr>
        <w:tc>
          <w:tcPr>
            <w:tcW w:w="3293" w:type="pct"/>
          </w:tcPr>
          <w:p w14:paraId="5AFB2776" w14:textId="6EAAB421" w:rsidR="00EE4EBA" w:rsidRPr="006D2A16" w:rsidRDefault="00A85F8B" w:rsidP="00D73131">
            <w:pPr>
              <w:pStyle w:val="BodyText"/>
              <w:ind w:right="103"/>
              <w:rPr>
                <w:rFonts w:ascii="Arial" w:hAnsi="Arial" w:cs="Arial"/>
                <w:sz w:val="20"/>
                <w:szCs w:val="20"/>
                <w:lang w:val="fr-CA"/>
              </w:rPr>
            </w:pPr>
            <w:r w:rsidRPr="006D2A16">
              <w:rPr>
                <w:rFonts w:ascii="Arial" w:hAnsi="Arial" w:cs="Arial"/>
                <w:sz w:val="20"/>
                <w:szCs w:val="20"/>
                <w:lang w:val="fr-CA"/>
              </w:rPr>
              <w:t>Un intervenant n’est pas d’accord pour dire qu’il n’y a aucune possibilité d’incompatibilité entre la règle sur la priorité accordée aux clients énoncée dans les RUIM et le projet d’article</w:t>
            </w:r>
            <w:r w:rsidR="00EE1F35" w:rsidRPr="006D2A16">
              <w:rPr>
                <w:rFonts w:ascii="Arial" w:hAnsi="Arial" w:cs="Arial"/>
                <w:sz w:val="20"/>
                <w:szCs w:val="20"/>
                <w:lang w:val="fr-CA"/>
              </w:rPr>
              <w:t> </w:t>
            </w:r>
            <w:r w:rsidRPr="006D2A16">
              <w:rPr>
                <w:rFonts w:ascii="Arial" w:hAnsi="Arial" w:cs="Arial"/>
                <w:sz w:val="20"/>
                <w:szCs w:val="20"/>
                <w:lang w:val="fr-CA"/>
              </w:rPr>
              <w:t>3503. Les exceptions prévues dans les RUIM sont essentielles et le Manuel de réglementation RLS devrait en tenir compte, compte tenu en particulier de leur pertinence pour les grandes sociétés de courtage intégrées qui exécutent des volumes d’opérations importants et recourent à la négociation automatisée.</w:t>
            </w:r>
          </w:p>
          <w:p w14:paraId="438790F2" w14:textId="77777777" w:rsidR="00EE4EBA" w:rsidRPr="006D2A16" w:rsidRDefault="00EE4EBA" w:rsidP="00D73131">
            <w:pPr>
              <w:pStyle w:val="BodyText"/>
              <w:ind w:left="107" w:right="197"/>
              <w:rPr>
                <w:rFonts w:ascii="Arial" w:hAnsi="Arial" w:cs="Arial"/>
                <w:sz w:val="20"/>
                <w:szCs w:val="20"/>
                <w:lang w:val="fr-CA"/>
              </w:rPr>
            </w:pPr>
          </w:p>
        </w:tc>
        <w:tc>
          <w:tcPr>
            <w:tcW w:w="1704" w:type="pct"/>
          </w:tcPr>
          <w:p w14:paraId="0A424E41" w14:textId="3AEB74A0" w:rsidR="00B450D6" w:rsidRPr="006D2A16" w:rsidRDefault="00A85F8B" w:rsidP="00D73131">
            <w:pPr>
              <w:pStyle w:val="BodyText"/>
              <w:ind w:right="174"/>
              <w:rPr>
                <w:rFonts w:ascii="Arial" w:hAnsi="Arial" w:cs="Arial"/>
                <w:sz w:val="20"/>
                <w:szCs w:val="20"/>
                <w:lang w:val="fr-CA"/>
              </w:rPr>
            </w:pPr>
            <w:r w:rsidRPr="006D2A16">
              <w:rPr>
                <w:rFonts w:ascii="Arial" w:hAnsi="Arial" w:cs="Arial"/>
                <w:sz w:val="20"/>
                <w:szCs w:val="20"/>
                <w:lang w:val="fr-CA"/>
              </w:rPr>
              <w:t>Nous vous remercions pour vos commentaires. Nous prévoyons préciser davantage la définition des comptes et des ordres non clients (ou de professionnel) dans le cadre d’un projet distinct. Nous tiendrons compte de vos commentaires dans le cadre de ce projet.</w:t>
            </w:r>
          </w:p>
          <w:p w14:paraId="42D06E47" w14:textId="77777777" w:rsidR="00EE4EBA" w:rsidRPr="006D2A16" w:rsidRDefault="00EE4EBA" w:rsidP="00D73131">
            <w:pPr>
              <w:pStyle w:val="BodyText"/>
              <w:ind w:left="107" w:right="138"/>
              <w:rPr>
                <w:rFonts w:ascii="Arial" w:hAnsi="Arial" w:cs="Arial"/>
                <w:sz w:val="20"/>
                <w:szCs w:val="20"/>
                <w:lang w:val="fr-CA"/>
              </w:rPr>
            </w:pPr>
          </w:p>
        </w:tc>
      </w:tr>
      <w:tr w:rsidR="00EE4EBA" w:rsidRPr="006D2A16" w14:paraId="4165BF29" w14:textId="77777777" w:rsidTr="006D2A16">
        <w:tc>
          <w:tcPr>
            <w:tcW w:w="5000" w:type="pct"/>
            <w:gridSpan w:val="3"/>
            <w:shd w:val="clear" w:color="auto" w:fill="FDE9D9" w:themeFill="accent6" w:themeFillTint="33"/>
          </w:tcPr>
          <w:p w14:paraId="4CF314C8" w14:textId="77777777" w:rsidR="00EE4EBA" w:rsidRDefault="00BA401B" w:rsidP="00D73131">
            <w:pPr>
              <w:pStyle w:val="BodyText"/>
              <w:rPr>
                <w:rFonts w:ascii="Arial" w:hAnsi="Arial" w:cs="Arial"/>
                <w:sz w:val="20"/>
                <w:szCs w:val="20"/>
                <w:u w:val="single"/>
                <w:lang w:val="fr-CA"/>
              </w:rPr>
            </w:pPr>
            <w:r w:rsidRPr="006D2A16">
              <w:rPr>
                <w:rFonts w:ascii="Arial" w:hAnsi="Arial" w:cs="Arial"/>
                <w:sz w:val="20"/>
                <w:szCs w:val="20"/>
                <w:u w:val="single"/>
                <w:lang w:val="fr-CA"/>
              </w:rPr>
              <w:t>Article</w:t>
            </w:r>
            <w:r w:rsidR="00EE1F35" w:rsidRPr="006D2A16">
              <w:rPr>
                <w:rFonts w:ascii="Arial" w:hAnsi="Arial" w:cs="Arial"/>
                <w:sz w:val="20"/>
                <w:szCs w:val="20"/>
                <w:u w:val="single"/>
                <w:lang w:val="fr-CA"/>
              </w:rPr>
              <w:t> </w:t>
            </w:r>
            <w:r w:rsidRPr="006D2A16">
              <w:rPr>
                <w:rFonts w:ascii="Arial" w:hAnsi="Arial" w:cs="Arial"/>
                <w:sz w:val="20"/>
                <w:szCs w:val="20"/>
                <w:u w:val="single"/>
                <w:lang w:val="fr-CA"/>
              </w:rPr>
              <w:t>3505</w:t>
            </w:r>
            <w:r w:rsidR="00A85F8B" w:rsidRPr="006D2A16">
              <w:rPr>
                <w:rFonts w:ascii="Arial" w:hAnsi="Arial" w:cs="Arial"/>
                <w:sz w:val="20"/>
                <w:szCs w:val="20"/>
                <w:u w:val="single"/>
                <w:lang w:val="fr-CA"/>
              </w:rPr>
              <w:t xml:space="preserve"> – Pratiques commerciales liées aux ventes – Versement de commissions</w:t>
            </w:r>
          </w:p>
          <w:p w14:paraId="5FDD21C7" w14:textId="4F821882" w:rsidR="00CF6C89" w:rsidRPr="006D2A16" w:rsidRDefault="00CF6C89" w:rsidP="00D73131">
            <w:pPr>
              <w:pStyle w:val="BodyText"/>
              <w:rPr>
                <w:rFonts w:ascii="Arial" w:hAnsi="Arial" w:cs="Arial"/>
                <w:sz w:val="20"/>
                <w:szCs w:val="20"/>
                <w:lang w:val="fr-CA"/>
              </w:rPr>
            </w:pPr>
          </w:p>
        </w:tc>
      </w:tr>
      <w:tr w:rsidR="00EE4EBA" w:rsidRPr="006D2A16" w14:paraId="1549A1FB" w14:textId="77777777" w:rsidTr="002B2660">
        <w:trPr>
          <w:gridAfter w:val="1"/>
          <w:wAfter w:w="3" w:type="pct"/>
          <w:trHeight w:val="881"/>
        </w:trPr>
        <w:tc>
          <w:tcPr>
            <w:tcW w:w="3293" w:type="pct"/>
          </w:tcPr>
          <w:p w14:paraId="430457F1" w14:textId="110DC953" w:rsidR="00EE4EBA" w:rsidRPr="006D2A16" w:rsidRDefault="00A85F8B" w:rsidP="00D73131">
            <w:pPr>
              <w:pStyle w:val="BodyText"/>
              <w:ind w:right="599"/>
              <w:rPr>
                <w:rFonts w:ascii="Arial" w:hAnsi="Arial" w:cs="Arial"/>
                <w:sz w:val="20"/>
                <w:szCs w:val="20"/>
                <w:lang w:val="fr-CA"/>
              </w:rPr>
            </w:pPr>
            <w:r w:rsidRPr="006D2A16">
              <w:rPr>
                <w:rFonts w:ascii="Arial" w:hAnsi="Arial" w:cs="Arial"/>
                <w:sz w:val="20"/>
                <w:szCs w:val="20"/>
                <w:lang w:val="fr-CA"/>
              </w:rPr>
              <w:t>Selon les intervenants, l’article</w:t>
            </w:r>
            <w:r w:rsidR="00EE1F35" w:rsidRPr="006D2A16">
              <w:rPr>
                <w:rFonts w:ascii="Arial" w:hAnsi="Arial" w:cs="Arial"/>
                <w:sz w:val="20"/>
                <w:szCs w:val="20"/>
                <w:lang w:val="fr-CA"/>
              </w:rPr>
              <w:t> </w:t>
            </w:r>
            <w:r w:rsidRPr="006D2A16">
              <w:rPr>
                <w:rFonts w:ascii="Arial" w:hAnsi="Arial" w:cs="Arial"/>
                <w:sz w:val="20"/>
                <w:szCs w:val="20"/>
                <w:lang w:val="fr-CA"/>
              </w:rPr>
              <w:t>2 de la Règle</w:t>
            </w:r>
            <w:r w:rsidR="00EE1F35" w:rsidRPr="006D2A16">
              <w:rPr>
                <w:rFonts w:ascii="Arial" w:hAnsi="Arial" w:cs="Arial"/>
                <w:sz w:val="20"/>
                <w:szCs w:val="20"/>
                <w:lang w:val="fr-CA"/>
              </w:rPr>
              <w:t> </w:t>
            </w:r>
            <w:r w:rsidRPr="006D2A16">
              <w:rPr>
                <w:rFonts w:ascii="Arial" w:hAnsi="Arial" w:cs="Arial"/>
                <w:sz w:val="20"/>
                <w:szCs w:val="20"/>
                <w:lang w:val="fr-CA"/>
              </w:rPr>
              <w:t>900 actuelle des courtiers membres interdit le partage des frais perçus uniquement dans le cadre de l’exercice de droits de souscription et n’est pas censé s’appliquer à toutes les opérations. Le fait d’étendre l’application de cet article à toutes les opérations aura une incidence négative sur les courtiers membres. Par exemple, il empêchera ceux-ci d’utiliser leurs revenus de commissions pour payer les droits d’adhésion ou les cotisations à l’OCRCVM. Les intervenants recommandent de supprimer cette règle afin d’éviter qu’elle n’ait des conséquences imprévues.</w:t>
            </w:r>
          </w:p>
          <w:p w14:paraId="71C4FF09" w14:textId="293C542C" w:rsidR="00EE4EBA" w:rsidRPr="006D2A16" w:rsidRDefault="00EE4EBA" w:rsidP="00D73131">
            <w:pPr>
              <w:pStyle w:val="BodyText"/>
              <w:ind w:left="107" w:right="176"/>
              <w:rPr>
                <w:rFonts w:ascii="Arial" w:hAnsi="Arial" w:cs="Arial"/>
                <w:sz w:val="20"/>
                <w:szCs w:val="20"/>
                <w:lang w:val="fr-CA"/>
              </w:rPr>
            </w:pPr>
          </w:p>
        </w:tc>
        <w:tc>
          <w:tcPr>
            <w:tcW w:w="1704" w:type="pct"/>
          </w:tcPr>
          <w:p w14:paraId="2DBE0A54" w14:textId="77777777" w:rsidR="00A85F8B" w:rsidRPr="006D2A16" w:rsidRDefault="00A85F8B" w:rsidP="00D73131">
            <w:pPr>
              <w:pStyle w:val="BodyText"/>
              <w:ind w:right="152"/>
              <w:rPr>
                <w:rFonts w:ascii="Arial" w:hAnsi="Arial" w:cs="Arial"/>
                <w:sz w:val="20"/>
                <w:szCs w:val="20"/>
                <w:lang w:val="fr-CA"/>
              </w:rPr>
            </w:pPr>
            <w:r w:rsidRPr="006D2A16">
              <w:rPr>
                <w:rFonts w:ascii="Arial" w:hAnsi="Arial" w:cs="Arial"/>
                <w:sz w:val="20"/>
                <w:szCs w:val="20"/>
                <w:lang w:val="fr-CA"/>
              </w:rPr>
              <w:t>Nous ne sommes globalement pas d’accord avec ce commentaire.</w:t>
            </w:r>
          </w:p>
          <w:p w14:paraId="67A6FDB2" w14:textId="77777777" w:rsidR="00A85F8B" w:rsidRPr="006D2A16" w:rsidRDefault="00A85F8B" w:rsidP="00D73131">
            <w:pPr>
              <w:pStyle w:val="BodyText"/>
              <w:ind w:right="152"/>
              <w:rPr>
                <w:rFonts w:ascii="Arial" w:hAnsi="Arial" w:cs="Arial"/>
                <w:sz w:val="20"/>
                <w:szCs w:val="20"/>
                <w:lang w:val="fr-CA"/>
              </w:rPr>
            </w:pPr>
          </w:p>
          <w:p w14:paraId="1FC30524" w14:textId="59200A90" w:rsidR="00A85F8B" w:rsidRPr="006D2A16" w:rsidRDefault="00A85F8B" w:rsidP="00D73131">
            <w:pPr>
              <w:pStyle w:val="BodyText"/>
              <w:ind w:right="152"/>
              <w:rPr>
                <w:rFonts w:ascii="Arial" w:hAnsi="Arial" w:cs="Arial"/>
                <w:sz w:val="20"/>
                <w:szCs w:val="20"/>
                <w:lang w:val="fr-CA"/>
              </w:rPr>
            </w:pPr>
            <w:r w:rsidRPr="006D2A16">
              <w:rPr>
                <w:rFonts w:ascii="Arial" w:hAnsi="Arial" w:cs="Arial"/>
                <w:sz w:val="20"/>
                <w:szCs w:val="20"/>
                <w:lang w:val="fr-CA"/>
              </w:rPr>
              <w:t>Premièrement, conformément à l’interprétation actuelle des Règles des courtiers membres et des lois sur les valeurs mobilières, l’article</w:t>
            </w:r>
            <w:r w:rsidR="00EE1F35" w:rsidRPr="006D2A16">
              <w:rPr>
                <w:rFonts w:ascii="Arial" w:hAnsi="Arial" w:cs="Arial"/>
                <w:sz w:val="20"/>
                <w:szCs w:val="20"/>
                <w:lang w:val="fr-CA"/>
              </w:rPr>
              <w:t> </w:t>
            </w:r>
            <w:r w:rsidRPr="006D2A16">
              <w:rPr>
                <w:rFonts w:ascii="Arial" w:hAnsi="Arial" w:cs="Arial"/>
                <w:sz w:val="20"/>
                <w:szCs w:val="20"/>
                <w:lang w:val="fr-CA"/>
              </w:rPr>
              <w:t>3505 est censé s’appliquer à toutes les opérations et non uniquement aux frais de service relatifs à l’exercice de droits de souscription.</w:t>
            </w:r>
          </w:p>
          <w:p w14:paraId="45B5E287" w14:textId="77777777" w:rsidR="00A85F8B" w:rsidRPr="006D2A16" w:rsidRDefault="00A85F8B" w:rsidP="00D73131">
            <w:pPr>
              <w:pStyle w:val="BodyText"/>
              <w:ind w:right="152"/>
              <w:rPr>
                <w:rFonts w:ascii="Arial" w:hAnsi="Arial" w:cs="Arial"/>
                <w:sz w:val="20"/>
                <w:szCs w:val="20"/>
                <w:lang w:val="fr-CA"/>
              </w:rPr>
            </w:pPr>
          </w:p>
          <w:p w14:paraId="4877BBC7" w14:textId="28B49D3D" w:rsidR="00A85F8B" w:rsidRPr="006D2A16" w:rsidRDefault="00A85F8B" w:rsidP="00D73131">
            <w:pPr>
              <w:pStyle w:val="BodyText"/>
              <w:ind w:right="152"/>
              <w:rPr>
                <w:rFonts w:ascii="Arial" w:hAnsi="Arial" w:cs="Arial"/>
                <w:sz w:val="20"/>
                <w:szCs w:val="20"/>
                <w:lang w:val="fr-CA"/>
              </w:rPr>
            </w:pPr>
            <w:r w:rsidRPr="006D2A16">
              <w:rPr>
                <w:rFonts w:ascii="Arial" w:hAnsi="Arial" w:cs="Arial"/>
                <w:sz w:val="20"/>
                <w:szCs w:val="20"/>
                <w:lang w:val="fr-CA"/>
              </w:rPr>
              <w:t>Deuxièmement, l’article</w:t>
            </w:r>
            <w:r w:rsidR="00EE1F35" w:rsidRPr="006D2A16">
              <w:rPr>
                <w:rFonts w:ascii="Arial" w:hAnsi="Arial" w:cs="Arial"/>
                <w:sz w:val="20"/>
                <w:szCs w:val="20"/>
                <w:lang w:val="fr-CA"/>
              </w:rPr>
              <w:t> </w:t>
            </w:r>
            <w:r w:rsidRPr="006D2A16">
              <w:rPr>
                <w:rFonts w:ascii="Arial" w:hAnsi="Arial" w:cs="Arial"/>
                <w:sz w:val="20"/>
                <w:szCs w:val="20"/>
                <w:lang w:val="fr-CA"/>
              </w:rPr>
              <w:t xml:space="preserve">3505 interdit le versement de commissions ou d’honoraires « associés » à des paiements reçus d’un client ou d’un émetteur. Autrement dit, il interdit les ententes inappropriées de partage de </w:t>
            </w:r>
            <w:r w:rsidRPr="006D2A16">
              <w:rPr>
                <w:rFonts w:ascii="Arial" w:hAnsi="Arial" w:cs="Arial"/>
                <w:sz w:val="20"/>
                <w:szCs w:val="20"/>
                <w:lang w:val="fr-CA"/>
              </w:rPr>
              <w:lastRenderedPageBreak/>
              <w:t>frais ou de commissions. Il n’interdit pas à un courtier d’utiliser les revenus ordinaires provenant de paiements reçus de clients ou d’émetteurs pour effectuer des paiements, par exemple pour payer les droits d’adhésion ou les cotisations à l’OCRCVM, les sommes dues à</w:t>
            </w:r>
            <w:r w:rsidR="006D2A16">
              <w:rPr>
                <w:rFonts w:ascii="Arial" w:hAnsi="Arial" w:cs="Arial"/>
                <w:sz w:val="20"/>
                <w:szCs w:val="20"/>
                <w:lang w:val="fr-CA"/>
              </w:rPr>
              <w:t> </w:t>
            </w:r>
            <w:r w:rsidRPr="006D2A16">
              <w:rPr>
                <w:rFonts w:ascii="Arial" w:hAnsi="Arial" w:cs="Arial"/>
                <w:sz w:val="20"/>
                <w:szCs w:val="20"/>
                <w:lang w:val="fr-CA"/>
              </w:rPr>
              <w:t>l’Agence du revenu du Canada et les autres frais ordinaires tels que les loyers ou les frais d’amélioration des immobilisations.</w:t>
            </w:r>
          </w:p>
          <w:p w14:paraId="1EA6FEFA" w14:textId="77777777" w:rsidR="00A85F8B" w:rsidRPr="006D2A16" w:rsidRDefault="00A85F8B" w:rsidP="00D73131">
            <w:pPr>
              <w:pStyle w:val="BodyText"/>
              <w:ind w:right="152"/>
              <w:rPr>
                <w:rFonts w:ascii="Arial" w:hAnsi="Arial" w:cs="Arial"/>
                <w:sz w:val="20"/>
                <w:szCs w:val="20"/>
                <w:lang w:val="fr-CA"/>
              </w:rPr>
            </w:pPr>
          </w:p>
          <w:p w14:paraId="2D78FB33" w14:textId="794E5154" w:rsidR="00EE4EBA" w:rsidRPr="006D2A16" w:rsidRDefault="00A85F8B" w:rsidP="002B2660">
            <w:pPr>
              <w:pStyle w:val="BodyText"/>
              <w:ind w:right="152"/>
              <w:rPr>
                <w:rFonts w:ascii="Arial" w:hAnsi="Arial" w:cs="Arial"/>
                <w:sz w:val="20"/>
                <w:szCs w:val="20"/>
                <w:lang w:val="fr-CA"/>
              </w:rPr>
            </w:pPr>
            <w:r w:rsidRPr="006D2A16">
              <w:rPr>
                <w:rFonts w:ascii="Arial" w:hAnsi="Arial" w:cs="Arial"/>
                <w:sz w:val="20"/>
                <w:szCs w:val="20"/>
                <w:lang w:val="fr-CA"/>
              </w:rPr>
              <w:t>Nous avons néanmoins modifié le libellé introductif de l’article</w:t>
            </w:r>
            <w:r w:rsidR="00EE1F35" w:rsidRPr="006D2A16">
              <w:rPr>
                <w:rFonts w:ascii="Arial" w:hAnsi="Arial" w:cs="Arial"/>
                <w:sz w:val="20"/>
                <w:szCs w:val="20"/>
                <w:lang w:val="fr-CA"/>
              </w:rPr>
              <w:t> </w:t>
            </w:r>
            <w:r w:rsidRPr="006D2A16">
              <w:rPr>
                <w:rFonts w:ascii="Arial" w:hAnsi="Arial" w:cs="Arial"/>
                <w:sz w:val="20"/>
                <w:szCs w:val="20"/>
                <w:lang w:val="fr-CA"/>
              </w:rPr>
              <w:t>3505 pour tenir compte des autres paiements acceptables en vertu des lois sur les valeurs mobilières (p. ex. les commissions d’indication de clients) qui pourraient être effectués en lien avec des paiements reçus d’un client ou d’un émetteur.</w:t>
            </w:r>
          </w:p>
        </w:tc>
      </w:tr>
      <w:tr w:rsidR="00CF6C89" w:rsidRPr="006D2A16" w14:paraId="70608DEA" w14:textId="77777777" w:rsidTr="006D2A16">
        <w:tc>
          <w:tcPr>
            <w:tcW w:w="5000" w:type="pct"/>
            <w:gridSpan w:val="3"/>
            <w:shd w:val="clear" w:color="auto" w:fill="FDE9D9" w:themeFill="accent6" w:themeFillTint="33"/>
          </w:tcPr>
          <w:p w14:paraId="66DEA308" w14:textId="77777777" w:rsidR="00CF6C89" w:rsidRDefault="00CF6C89" w:rsidP="00D73131">
            <w:pPr>
              <w:pStyle w:val="BodyText"/>
              <w:ind w:left="107"/>
              <w:rPr>
                <w:rFonts w:ascii="Arial" w:hAnsi="Arial" w:cs="Arial"/>
                <w:sz w:val="20"/>
                <w:szCs w:val="20"/>
                <w:lang w:val="fr-CA"/>
              </w:rPr>
            </w:pPr>
            <w:r w:rsidRPr="006D2A16">
              <w:rPr>
                <w:rFonts w:ascii="Arial" w:hAnsi="Arial" w:cs="Arial"/>
                <w:sz w:val="20"/>
                <w:szCs w:val="20"/>
                <w:u w:val="single"/>
                <w:lang w:val="fr-CA"/>
              </w:rPr>
              <w:lastRenderedPageBreak/>
              <w:t>Article 3726</w:t>
            </w:r>
            <w:r w:rsidRPr="006D2A16">
              <w:rPr>
                <w:rFonts w:ascii="Arial" w:hAnsi="Arial" w:cs="Arial"/>
                <w:sz w:val="20"/>
                <w:szCs w:val="20"/>
                <w:lang w:val="fr-CA"/>
              </w:rPr>
              <w:t xml:space="preserve"> – Plaintes de clients – Clients de détail – Réponses aux plaintes de clients</w:t>
            </w:r>
          </w:p>
          <w:p w14:paraId="6DAF125E" w14:textId="57655E47" w:rsidR="00CF6C89" w:rsidRPr="006D2A16" w:rsidRDefault="00CF6C89" w:rsidP="00D73131">
            <w:pPr>
              <w:pStyle w:val="BodyText"/>
              <w:ind w:left="107"/>
              <w:rPr>
                <w:rFonts w:ascii="Arial" w:hAnsi="Arial" w:cs="Arial"/>
                <w:sz w:val="20"/>
                <w:szCs w:val="20"/>
                <w:lang w:val="fr-CA"/>
              </w:rPr>
            </w:pPr>
          </w:p>
        </w:tc>
      </w:tr>
      <w:tr w:rsidR="00B450D6" w:rsidRPr="001374EE" w14:paraId="50D0505C" w14:textId="77777777" w:rsidTr="006D2A16">
        <w:trPr>
          <w:gridAfter w:val="1"/>
          <w:wAfter w:w="3" w:type="pct"/>
        </w:trPr>
        <w:tc>
          <w:tcPr>
            <w:tcW w:w="3293" w:type="pct"/>
          </w:tcPr>
          <w:p w14:paraId="21D5A564" w14:textId="152C7662" w:rsidR="00B450D6" w:rsidRPr="006D2A16" w:rsidRDefault="00A85F8B" w:rsidP="00D73131">
            <w:pPr>
              <w:pStyle w:val="BodyText"/>
              <w:ind w:right="185"/>
              <w:rPr>
                <w:rFonts w:ascii="Arial" w:hAnsi="Arial" w:cs="Arial"/>
                <w:sz w:val="20"/>
                <w:szCs w:val="20"/>
                <w:lang w:val="fr-CA"/>
              </w:rPr>
            </w:pPr>
            <w:r w:rsidRPr="006D2A16">
              <w:rPr>
                <w:rFonts w:ascii="Arial" w:hAnsi="Arial" w:cs="Arial"/>
                <w:sz w:val="20"/>
                <w:szCs w:val="20"/>
                <w:lang w:val="fr-CA"/>
              </w:rPr>
              <w:t>Deux intervenants font remarquer que les règles sur les plaintes de clients n’ont pas été mises à jour depuis février 2010, et qu’elles doivent être examinées et faire l’objet d’une consultation publique à la lumière du récent Avis</w:t>
            </w:r>
            <w:r w:rsidR="00EE1F35" w:rsidRPr="006D2A16">
              <w:rPr>
                <w:rFonts w:ascii="Arial" w:hAnsi="Arial" w:cs="Arial"/>
                <w:sz w:val="20"/>
                <w:szCs w:val="20"/>
                <w:lang w:val="fr-CA"/>
              </w:rPr>
              <w:t> </w:t>
            </w:r>
            <w:r w:rsidRPr="006D2A16">
              <w:rPr>
                <w:rFonts w:ascii="Arial" w:hAnsi="Arial" w:cs="Arial"/>
                <w:sz w:val="20"/>
                <w:szCs w:val="20"/>
                <w:lang w:val="fr-CA"/>
              </w:rPr>
              <w:t>31-351 du personnel des ACVM, Avis</w:t>
            </w:r>
            <w:r w:rsidR="00EE1F35" w:rsidRPr="006D2A16">
              <w:rPr>
                <w:rFonts w:ascii="Arial" w:hAnsi="Arial" w:cs="Arial"/>
                <w:sz w:val="20"/>
                <w:szCs w:val="20"/>
                <w:lang w:val="fr-CA"/>
              </w:rPr>
              <w:t> </w:t>
            </w:r>
            <w:r w:rsidR="00EA3392" w:rsidRPr="006D2A16">
              <w:rPr>
                <w:rFonts w:ascii="Arial" w:hAnsi="Arial" w:cs="Arial"/>
                <w:sz w:val="20"/>
                <w:szCs w:val="20"/>
                <w:lang w:val="fr-CA"/>
              </w:rPr>
              <w:t>17</w:t>
            </w:r>
            <w:r w:rsidR="00EA3392" w:rsidRPr="006D2A16">
              <w:rPr>
                <w:rFonts w:ascii="Arial" w:hAnsi="Arial" w:cs="Arial"/>
                <w:sz w:val="20"/>
                <w:szCs w:val="20"/>
                <w:lang w:val="fr-CA"/>
              </w:rPr>
              <w:noBreakHyphen/>
            </w:r>
            <w:r w:rsidRPr="006D2A16">
              <w:rPr>
                <w:rFonts w:ascii="Arial" w:hAnsi="Arial" w:cs="Arial"/>
                <w:sz w:val="20"/>
                <w:szCs w:val="20"/>
                <w:lang w:val="fr-CA"/>
              </w:rPr>
              <w:t xml:space="preserve">0229 de l’OCRCVM et Bulletin #0736-M de l’ACFM, </w:t>
            </w:r>
            <w:r w:rsidRPr="006D2A16">
              <w:rPr>
                <w:rFonts w:ascii="Arial" w:hAnsi="Arial" w:cs="Arial"/>
                <w:i/>
                <w:sz w:val="20"/>
                <w:szCs w:val="20"/>
                <w:lang w:val="fr-CA"/>
              </w:rPr>
              <w:t>Conformité aux obligations relatives à l’Ombudsman des services bancaires et d’investissement</w:t>
            </w:r>
            <w:r w:rsidRPr="006D2A16">
              <w:rPr>
                <w:rFonts w:ascii="Arial" w:hAnsi="Arial" w:cs="Arial"/>
                <w:sz w:val="20"/>
                <w:szCs w:val="20"/>
                <w:lang w:val="fr-CA"/>
              </w:rPr>
              <w:t>. Selon ces intervenants, la consultation publique et l’examen devraient porter sur des questions telles que l’amélioration de la forme et du contenu du dépliant sur les plaintes de clients et l’opportunité d’élargir les obligations de signalement des courtiers membres (énoncées à l’article</w:t>
            </w:r>
            <w:r w:rsidR="00EE1F35" w:rsidRPr="006D2A16">
              <w:rPr>
                <w:rFonts w:ascii="Arial" w:hAnsi="Arial" w:cs="Arial"/>
                <w:sz w:val="20"/>
                <w:szCs w:val="20"/>
                <w:lang w:val="fr-CA"/>
              </w:rPr>
              <w:t> </w:t>
            </w:r>
            <w:r w:rsidRPr="006D2A16">
              <w:rPr>
                <w:rFonts w:ascii="Arial" w:hAnsi="Arial" w:cs="Arial"/>
                <w:sz w:val="20"/>
                <w:szCs w:val="20"/>
                <w:lang w:val="fr-CA"/>
              </w:rPr>
              <w:t>3703) afin d’obliger ces derniers à signaler les cas où un client recourt volontairement à un service d’ombudsman interne.</w:t>
            </w:r>
          </w:p>
          <w:p w14:paraId="6EB29D71" w14:textId="77777777" w:rsidR="00B450D6" w:rsidRPr="006D2A16" w:rsidRDefault="00B450D6" w:rsidP="00D73131">
            <w:pPr>
              <w:pStyle w:val="BodyText"/>
              <w:ind w:right="599"/>
              <w:rPr>
                <w:rFonts w:ascii="Arial" w:hAnsi="Arial" w:cs="Arial"/>
                <w:sz w:val="20"/>
                <w:szCs w:val="20"/>
                <w:lang w:val="fr-CA"/>
              </w:rPr>
            </w:pPr>
          </w:p>
        </w:tc>
        <w:tc>
          <w:tcPr>
            <w:tcW w:w="1704" w:type="pct"/>
          </w:tcPr>
          <w:p w14:paraId="12D19D00" w14:textId="079BD8DC" w:rsidR="00B450D6" w:rsidRPr="001374EE" w:rsidRDefault="00A85F8B" w:rsidP="00D73131">
            <w:pPr>
              <w:pStyle w:val="BodyText"/>
              <w:ind w:right="325"/>
              <w:rPr>
                <w:rFonts w:ascii="Arial" w:hAnsi="Arial" w:cs="Arial"/>
                <w:sz w:val="20"/>
                <w:szCs w:val="20"/>
              </w:rPr>
            </w:pPr>
            <w:r w:rsidRPr="006D2A16">
              <w:rPr>
                <w:rFonts w:ascii="Arial" w:hAnsi="Arial" w:cs="Arial"/>
                <w:sz w:val="20"/>
                <w:szCs w:val="20"/>
                <w:lang w:val="fr-CA"/>
              </w:rPr>
              <w:t>Nous tiendrons compte de ces commentaires lorsque nous examinerons les règles sur les plaintes de clients dans un proche avenir. D’ici là, pour plus de renseignements, veuillez vous reporter à nos deux nouveaux dépliants intitulés « Dépôt d’une plainte</w:t>
            </w:r>
            <w:r w:rsidR="00F24981" w:rsidRPr="006D2A16">
              <w:rPr>
                <w:rFonts w:ascii="Arial" w:hAnsi="Arial" w:cs="Arial"/>
                <w:sz w:val="20"/>
                <w:szCs w:val="20"/>
                <w:lang w:val="fr-CA"/>
              </w:rPr>
              <w:t> </w:t>
            </w:r>
            <w:r w:rsidRPr="006D2A16">
              <w:rPr>
                <w:rFonts w:ascii="Arial" w:hAnsi="Arial" w:cs="Arial"/>
                <w:sz w:val="20"/>
                <w:szCs w:val="20"/>
                <w:lang w:val="fr-CA"/>
              </w:rPr>
              <w:t>: Guide de l’investisseur (partie</w:t>
            </w:r>
            <w:r w:rsidR="00EE1F35" w:rsidRPr="006D2A16">
              <w:rPr>
                <w:rFonts w:ascii="Arial" w:hAnsi="Arial" w:cs="Arial"/>
                <w:sz w:val="20"/>
                <w:szCs w:val="20"/>
                <w:lang w:val="fr-CA"/>
              </w:rPr>
              <w:t> </w:t>
            </w:r>
            <w:r w:rsidRPr="006D2A16">
              <w:rPr>
                <w:rFonts w:ascii="Arial" w:hAnsi="Arial" w:cs="Arial"/>
                <w:sz w:val="20"/>
                <w:szCs w:val="20"/>
                <w:lang w:val="fr-CA"/>
              </w:rPr>
              <w:t xml:space="preserve">1 de 2) » et « Comment puis-je récupérer mon argent? </w:t>
            </w:r>
            <w:r>
              <w:rPr>
                <w:rFonts w:ascii="Arial" w:hAnsi="Arial" w:cs="Arial"/>
                <w:sz w:val="20"/>
                <w:szCs w:val="20"/>
              </w:rPr>
              <w:t>(partie</w:t>
            </w:r>
            <w:r w:rsidR="00EE1F35">
              <w:rPr>
                <w:rFonts w:ascii="Arial" w:hAnsi="Arial" w:cs="Arial"/>
                <w:sz w:val="20"/>
                <w:szCs w:val="20"/>
              </w:rPr>
              <w:t> </w:t>
            </w:r>
            <w:r>
              <w:rPr>
                <w:rFonts w:ascii="Arial" w:hAnsi="Arial" w:cs="Arial"/>
                <w:sz w:val="20"/>
                <w:szCs w:val="20"/>
              </w:rPr>
              <w:t>2 de 2) », publiés sur notre site Internet.</w:t>
            </w:r>
          </w:p>
          <w:p w14:paraId="554EF315" w14:textId="77777777" w:rsidR="00B450D6" w:rsidRPr="001374EE" w:rsidRDefault="00B450D6" w:rsidP="00D73131">
            <w:pPr>
              <w:pStyle w:val="BodyText"/>
              <w:rPr>
                <w:rFonts w:ascii="Arial" w:hAnsi="Arial" w:cs="Arial"/>
                <w:sz w:val="20"/>
                <w:szCs w:val="20"/>
              </w:rPr>
            </w:pPr>
          </w:p>
        </w:tc>
      </w:tr>
      <w:tr w:rsidR="00B450D6" w:rsidRPr="006D2A16" w14:paraId="16FFF850" w14:textId="77777777" w:rsidTr="006D2A16">
        <w:tc>
          <w:tcPr>
            <w:tcW w:w="5000" w:type="pct"/>
            <w:gridSpan w:val="3"/>
            <w:shd w:val="clear" w:color="auto" w:fill="FDE9D9" w:themeFill="accent6" w:themeFillTint="33"/>
          </w:tcPr>
          <w:p w14:paraId="3D103A64" w14:textId="77777777" w:rsidR="00B450D6" w:rsidRDefault="00BA401B" w:rsidP="00D73131">
            <w:pPr>
              <w:pStyle w:val="BodyText"/>
              <w:ind w:left="107"/>
              <w:rPr>
                <w:rFonts w:ascii="Arial" w:hAnsi="Arial" w:cs="Arial"/>
                <w:sz w:val="20"/>
                <w:szCs w:val="20"/>
                <w:lang w:val="fr-CA"/>
              </w:rPr>
            </w:pPr>
            <w:r w:rsidRPr="006D2A16">
              <w:rPr>
                <w:rFonts w:ascii="Arial" w:hAnsi="Arial" w:cs="Arial"/>
                <w:sz w:val="20"/>
                <w:szCs w:val="20"/>
                <w:u w:val="single"/>
                <w:lang w:val="fr-CA"/>
              </w:rPr>
              <w:t>Paragraphe</w:t>
            </w:r>
            <w:r w:rsidR="00EE1F35" w:rsidRPr="006D2A16">
              <w:rPr>
                <w:rFonts w:ascii="Arial" w:hAnsi="Arial" w:cs="Arial"/>
                <w:sz w:val="20"/>
                <w:szCs w:val="20"/>
                <w:u w:val="single"/>
                <w:lang w:val="fr-CA"/>
              </w:rPr>
              <w:t> </w:t>
            </w:r>
            <w:r w:rsidRPr="006D2A16">
              <w:rPr>
                <w:rFonts w:ascii="Arial" w:hAnsi="Arial" w:cs="Arial"/>
                <w:sz w:val="20"/>
                <w:szCs w:val="20"/>
                <w:u w:val="single"/>
                <w:lang w:val="fr-CA"/>
              </w:rPr>
              <w:t>3808(1)</w:t>
            </w:r>
            <w:r w:rsidR="00A85F8B" w:rsidRPr="006D2A16">
              <w:rPr>
                <w:rFonts w:ascii="Arial" w:hAnsi="Arial" w:cs="Arial"/>
                <w:sz w:val="20"/>
                <w:szCs w:val="20"/>
                <w:lang w:val="fr-CA"/>
              </w:rPr>
              <w:t xml:space="preserve"> – Dossiers à conserver et communications avec le client à faire par le courtier membre – Relevés de compte de clients</w:t>
            </w:r>
          </w:p>
          <w:p w14:paraId="77C3361D" w14:textId="6FD798DD" w:rsidR="00CF6C89" w:rsidRPr="006D2A16" w:rsidRDefault="00CF6C89" w:rsidP="00D73131">
            <w:pPr>
              <w:pStyle w:val="BodyText"/>
              <w:ind w:left="107"/>
              <w:rPr>
                <w:rFonts w:ascii="Arial" w:hAnsi="Arial" w:cs="Arial"/>
                <w:sz w:val="20"/>
                <w:szCs w:val="20"/>
                <w:lang w:val="fr-CA"/>
              </w:rPr>
            </w:pPr>
          </w:p>
        </w:tc>
      </w:tr>
      <w:tr w:rsidR="00B450D6" w:rsidRPr="006D2A16" w14:paraId="51431E78" w14:textId="77777777" w:rsidTr="006D2A16">
        <w:trPr>
          <w:gridAfter w:val="1"/>
          <w:wAfter w:w="3" w:type="pct"/>
        </w:trPr>
        <w:tc>
          <w:tcPr>
            <w:tcW w:w="3293" w:type="pct"/>
          </w:tcPr>
          <w:p w14:paraId="6E954DF3" w14:textId="562A74DE" w:rsidR="00B450D6" w:rsidRPr="006D2A16" w:rsidRDefault="00A85F8B" w:rsidP="00BA401B">
            <w:pPr>
              <w:pStyle w:val="BodyText"/>
              <w:ind w:right="141"/>
              <w:rPr>
                <w:rFonts w:ascii="Arial" w:hAnsi="Arial" w:cs="Arial"/>
                <w:sz w:val="20"/>
                <w:szCs w:val="20"/>
                <w:lang w:val="fr-CA"/>
              </w:rPr>
            </w:pPr>
            <w:r w:rsidRPr="006D2A16">
              <w:rPr>
                <w:rFonts w:ascii="Arial" w:hAnsi="Arial" w:cs="Arial"/>
                <w:sz w:val="20"/>
                <w:szCs w:val="20"/>
                <w:lang w:val="fr-CA"/>
              </w:rPr>
              <w:t>Les intervenants demandent que les distributions en espèces ordinaires versées sur des parts d’organismes de placement collectif, de sociétés en commandite et de fiducie soient dispensées de la même façon que le paiement d’un dividende ou d’intérêts au sous-alinéa</w:t>
            </w:r>
            <w:r w:rsidR="00EE1F35" w:rsidRPr="006D2A16">
              <w:rPr>
                <w:rFonts w:ascii="Arial" w:hAnsi="Arial" w:cs="Arial"/>
                <w:sz w:val="20"/>
                <w:szCs w:val="20"/>
                <w:lang w:val="fr-CA"/>
              </w:rPr>
              <w:t> </w:t>
            </w:r>
            <w:r w:rsidRPr="006D2A16">
              <w:rPr>
                <w:rFonts w:ascii="Arial" w:hAnsi="Arial" w:cs="Arial"/>
                <w:sz w:val="20"/>
                <w:szCs w:val="20"/>
                <w:lang w:val="fr-CA"/>
              </w:rPr>
              <w:t>3808(1)(ii)(b), qui n’oblige pas le courtier membre à transmettre un relevé de compte.</w:t>
            </w:r>
          </w:p>
        </w:tc>
        <w:tc>
          <w:tcPr>
            <w:tcW w:w="1704" w:type="pct"/>
            <w:vMerge w:val="restart"/>
          </w:tcPr>
          <w:p w14:paraId="2A1A5237" w14:textId="21983119" w:rsidR="00B450D6" w:rsidRPr="006D2A16" w:rsidRDefault="00A85F8B" w:rsidP="00D73131">
            <w:pPr>
              <w:pStyle w:val="BodyText"/>
              <w:ind w:right="207"/>
              <w:rPr>
                <w:rFonts w:ascii="Arial" w:hAnsi="Arial" w:cs="Arial"/>
                <w:sz w:val="20"/>
                <w:szCs w:val="20"/>
                <w:lang w:val="fr-CA"/>
              </w:rPr>
            </w:pPr>
            <w:r w:rsidRPr="006D2A16">
              <w:rPr>
                <w:rFonts w:ascii="Arial" w:hAnsi="Arial" w:cs="Arial"/>
                <w:sz w:val="20"/>
                <w:szCs w:val="20"/>
                <w:lang w:val="fr-CA"/>
              </w:rPr>
              <w:t>Cette dispense n’est pas nécessaire, car le terme « dividende » doit être interprété au sens large de façon à englober les distributions en espèces versées par des organismes de placement collectif, des sociétés en commandite et des fiducies.</w:t>
            </w:r>
          </w:p>
          <w:p w14:paraId="70DC5F5B" w14:textId="77777777" w:rsidR="00B450D6" w:rsidRPr="006D2A16" w:rsidRDefault="00B450D6" w:rsidP="00D73131">
            <w:pPr>
              <w:pStyle w:val="BodyText"/>
              <w:rPr>
                <w:rFonts w:ascii="Arial" w:hAnsi="Arial" w:cs="Arial"/>
                <w:sz w:val="20"/>
                <w:szCs w:val="20"/>
                <w:lang w:val="fr-CA"/>
              </w:rPr>
            </w:pPr>
          </w:p>
        </w:tc>
      </w:tr>
      <w:tr w:rsidR="00B450D6" w:rsidRPr="006D2A16" w14:paraId="599CEF76" w14:textId="77777777" w:rsidTr="006D2A16">
        <w:trPr>
          <w:gridAfter w:val="1"/>
          <w:wAfter w:w="3" w:type="pct"/>
        </w:trPr>
        <w:tc>
          <w:tcPr>
            <w:tcW w:w="3293" w:type="pct"/>
          </w:tcPr>
          <w:p w14:paraId="5713166D" w14:textId="63829091" w:rsidR="00B450D6" w:rsidRPr="006D2A16" w:rsidRDefault="00A85F8B" w:rsidP="00D73131">
            <w:pPr>
              <w:pStyle w:val="BodyText"/>
              <w:ind w:right="307"/>
              <w:rPr>
                <w:rFonts w:ascii="Arial" w:hAnsi="Arial" w:cs="Arial"/>
                <w:sz w:val="20"/>
                <w:szCs w:val="20"/>
                <w:lang w:val="fr-CA"/>
              </w:rPr>
            </w:pPr>
            <w:r w:rsidRPr="006D2A16">
              <w:rPr>
                <w:rFonts w:ascii="Arial" w:hAnsi="Arial" w:cs="Arial"/>
                <w:sz w:val="20"/>
                <w:szCs w:val="20"/>
                <w:lang w:val="fr-CA"/>
              </w:rPr>
              <w:t>Les intervenants soulignent que certaines modifications ont été apportées aux règles relatives au MRCC</w:t>
            </w:r>
            <w:r w:rsidR="00EE1F35" w:rsidRPr="006D2A16">
              <w:rPr>
                <w:rFonts w:ascii="Arial" w:hAnsi="Arial" w:cs="Arial"/>
                <w:sz w:val="20"/>
                <w:szCs w:val="20"/>
                <w:lang w:val="fr-CA"/>
              </w:rPr>
              <w:t> </w:t>
            </w:r>
            <w:r w:rsidRPr="006D2A16">
              <w:rPr>
                <w:rFonts w:ascii="Arial" w:hAnsi="Arial" w:cs="Arial"/>
                <w:sz w:val="20"/>
                <w:szCs w:val="20"/>
                <w:lang w:val="fr-CA"/>
              </w:rPr>
              <w:t>2 (dans le cadre de l’Avis</w:t>
            </w:r>
            <w:r w:rsidR="00EE1F35" w:rsidRPr="006D2A16">
              <w:rPr>
                <w:rFonts w:ascii="Arial" w:hAnsi="Arial" w:cs="Arial"/>
                <w:sz w:val="20"/>
                <w:szCs w:val="20"/>
                <w:lang w:val="fr-CA"/>
              </w:rPr>
              <w:t> </w:t>
            </w:r>
            <w:r w:rsidRPr="006D2A16">
              <w:rPr>
                <w:rFonts w:ascii="Arial" w:hAnsi="Arial" w:cs="Arial"/>
                <w:sz w:val="20"/>
                <w:szCs w:val="20"/>
                <w:lang w:val="fr-CA"/>
              </w:rPr>
              <w:t>17-0054) et, étant donné que le projet RLS a pour objectif de « supprimer les dispositions désuètes, redondantes et inutiles », ils estiment que cette proposition réduirait les dispositions désuètes et inutiles.</w:t>
            </w:r>
          </w:p>
          <w:p w14:paraId="0BF063ED" w14:textId="77777777" w:rsidR="00B450D6" w:rsidRPr="006D2A16" w:rsidRDefault="00B450D6" w:rsidP="00D73131">
            <w:pPr>
              <w:pStyle w:val="BodyText"/>
              <w:ind w:right="599"/>
              <w:rPr>
                <w:rFonts w:ascii="Arial" w:hAnsi="Arial" w:cs="Arial"/>
                <w:sz w:val="20"/>
                <w:szCs w:val="20"/>
                <w:lang w:val="fr-CA"/>
              </w:rPr>
            </w:pPr>
          </w:p>
        </w:tc>
        <w:tc>
          <w:tcPr>
            <w:tcW w:w="1704" w:type="pct"/>
            <w:vMerge/>
            <w:tcBorders>
              <w:bottom w:val="single" w:sz="4" w:space="0" w:color="auto"/>
            </w:tcBorders>
          </w:tcPr>
          <w:p w14:paraId="20362E5A" w14:textId="77777777" w:rsidR="00B450D6" w:rsidRPr="006D2A16" w:rsidRDefault="00B450D6" w:rsidP="00D73131">
            <w:pPr>
              <w:pStyle w:val="BodyText"/>
              <w:rPr>
                <w:rFonts w:ascii="Arial" w:hAnsi="Arial" w:cs="Arial"/>
                <w:sz w:val="20"/>
                <w:szCs w:val="20"/>
                <w:lang w:val="fr-CA"/>
              </w:rPr>
            </w:pPr>
          </w:p>
        </w:tc>
      </w:tr>
      <w:tr w:rsidR="00B450D6" w:rsidRPr="006D2A16" w14:paraId="2A5C2E08" w14:textId="77777777" w:rsidTr="006D2A16">
        <w:tc>
          <w:tcPr>
            <w:tcW w:w="5000" w:type="pct"/>
            <w:gridSpan w:val="3"/>
            <w:shd w:val="clear" w:color="auto" w:fill="FDE9D9" w:themeFill="accent6" w:themeFillTint="33"/>
          </w:tcPr>
          <w:p w14:paraId="0E6A881C" w14:textId="77777777" w:rsidR="00B450D6" w:rsidRDefault="00A85F8B" w:rsidP="00D73131">
            <w:pPr>
              <w:pStyle w:val="BodyText"/>
              <w:ind w:left="107"/>
              <w:rPr>
                <w:rFonts w:ascii="Arial" w:hAnsi="Arial" w:cs="Arial"/>
                <w:sz w:val="20"/>
                <w:szCs w:val="20"/>
                <w:lang w:val="fr-CA"/>
              </w:rPr>
            </w:pPr>
            <w:r w:rsidRPr="006D2A16">
              <w:rPr>
                <w:rFonts w:ascii="Arial" w:hAnsi="Arial" w:cs="Arial"/>
                <w:sz w:val="20"/>
                <w:szCs w:val="20"/>
                <w:u w:val="single"/>
                <w:lang w:val="fr-CA"/>
              </w:rPr>
              <w:t>Alinéa</w:t>
            </w:r>
            <w:r w:rsidR="00EE1F35" w:rsidRPr="006D2A16">
              <w:rPr>
                <w:rFonts w:ascii="Arial" w:hAnsi="Arial" w:cs="Arial"/>
                <w:sz w:val="20"/>
                <w:szCs w:val="20"/>
                <w:u w:val="single"/>
                <w:lang w:val="fr-CA"/>
              </w:rPr>
              <w:t> </w:t>
            </w:r>
            <w:r w:rsidRPr="006D2A16">
              <w:rPr>
                <w:rFonts w:ascii="Arial" w:hAnsi="Arial" w:cs="Arial"/>
                <w:sz w:val="20"/>
                <w:szCs w:val="20"/>
                <w:u w:val="single"/>
                <w:lang w:val="fr-CA"/>
              </w:rPr>
              <w:t>3816(2)(ix)</w:t>
            </w:r>
            <w:r w:rsidRPr="006D2A16">
              <w:rPr>
                <w:rFonts w:ascii="Arial" w:hAnsi="Arial" w:cs="Arial"/>
                <w:sz w:val="20"/>
                <w:szCs w:val="20"/>
                <w:lang w:val="fr-CA"/>
              </w:rPr>
              <w:t xml:space="preserve"> – Dossiers à conserver et communications avec le client à faire par le courtier membre – Avis d’exécution</w:t>
            </w:r>
          </w:p>
          <w:p w14:paraId="1B731E40" w14:textId="20A8FFD0" w:rsidR="00CF6C89" w:rsidRPr="006D2A16" w:rsidRDefault="00CF6C89" w:rsidP="00D73131">
            <w:pPr>
              <w:pStyle w:val="BodyText"/>
              <w:ind w:left="107"/>
              <w:rPr>
                <w:rFonts w:ascii="Arial" w:hAnsi="Arial" w:cs="Arial"/>
                <w:sz w:val="20"/>
                <w:szCs w:val="20"/>
                <w:lang w:val="fr-CA"/>
              </w:rPr>
            </w:pPr>
          </w:p>
        </w:tc>
      </w:tr>
      <w:tr w:rsidR="00B450D6" w:rsidRPr="006D2A16" w14:paraId="72884091" w14:textId="77777777" w:rsidTr="006D2A16">
        <w:trPr>
          <w:gridAfter w:val="1"/>
          <w:wAfter w:w="3" w:type="pct"/>
        </w:trPr>
        <w:tc>
          <w:tcPr>
            <w:tcW w:w="3293" w:type="pct"/>
          </w:tcPr>
          <w:p w14:paraId="08264BFF" w14:textId="601F2304" w:rsidR="00A85F8B" w:rsidRPr="006D2A16" w:rsidRDefault="00A85F8B" w:rsidP="00D73131">
            <w:pPr>
              <w:pStyle w:val="BodyText"/>
              <w:ind w:right="307"/>
              <w:rPr>
                <w:rFonts w:ascii="Arial" w:hAnsi="Arial" w:cs="Arial"/>
                <w:sz w:val="20"/>
                <w:szCs w:val="20"/>
                <w:lang w:val="fr-CA"/>
              </w:rPr>
            </w:pPr>
            <w:r w:rsidRPr="006D2A16">
              <w:rPr>
                <w:rFonts w:ascii="Arial" w:hAnsi="Arial" w:cs="Arial"/>
                <w:sz w:val="20"/>
                <w:szCs w:val="20"/>
                <w:lang w:val="fr-CA"/>
              </w:rPr>
              <w:t>Les intervenants recommandent à l’OCRCVM de prévoir une dispense de l’obligation de communiquer le lien entre le courtier membre et l’institution financière qui parraine un organisme de placement collectif lorsque les noms du courtier membre et de l’organisme de placement collectif sont suffisamment semblables pour indiquer que ces derniers sont liés ou membres du même groupe. Cette dispense est semblable à celle prévue au paragraphe</w:t>
            </w:r>
            <w:r w:rsidR="00EE1F35" w:rsidRPr="006D2A16">
              <w:rPr>
                <w:rFonts w:ascii="Arial" w:hAnsi="Arial" w:cs="Arial"/>
                <w:sz w:val="20"/>
                <w:szCs w:val="20"/>
                <w:lang w:val="fr-CA"/>
              </w:rPr>
              <w:t> </w:t>
            </w:r>
            <w:r w:rsidRPr="006D2A16">
              <w:rPr>
                <w:rFonts w:ascii="Arial" w:hAnsi="Arial" w:cs="Arial"/>
                <w:sz w:val="20"/>
                <w:szCs w:val="20"/>
                <w:lang w:val="fr-CA"/>
              </w:rPr>
              <w:t>3 de l’article</w:t>
            </w:r>
            <w:r w:rsidR="00EE1F35" w:rsidRPr="006D2A16">
              <w:rPr>
                <w:rFonts w:ascii="Arial" w:hAnsi="Arial" w:cs="Arial"/>
                <w:sz w:val="20"/>
                <w:szCs w:val="20"/>
                <w:lang w:val="fr-CA"/>
              </w:rPr>
              <w:t> </w:t>
            </w:r>
            <w:r w:rsidRPr="006D2A16">
              <w:rPr>
                <w:rFonts w:ascii="Arial" w:hAnsi="Arial" w:cs="Arial"/>
                <w:sz w:val="20"/>
                <w:szCs w:val="20"/>
                <w:lang w:val="fr-CA"/>
              </w:rPr>
              <w:t xml:space="preserve">14.12 du </w:t>
            </w:r>
            <w:r w:rsidRPr="006D2A16">
              <w:rPr>
                <w:rFonts w:ascii="Arial" w:hAnsi="Arial" w:cs="Arial"/>
                <w:i/>
                <w:sz w:val="20"/>
                <w:szCs w:val="20"/>
                <w:lang w:val="fr-CA"/>
              </w:rPr>
              <w:t>Règlement</w:t>
            </w:r>
            <w:r w:rsidR="00EE1F35" w:rsidRPr="006D2A16">
              <w:rPr>
                <w:rFonts w:ascii="Arial" w:hAnsi="Arial" w:cs="Arial"/>
                <w:i/>
                <w:sz w:val="20"/>
                <w:szCs w:val="20"/>
                <w:lang w:val="fr-CA"/>
              </w:rPr>
              <w:t> </w:t>
            </w:r>
            <w:r w:rsidRPr="006D2A16">
              <w:rPr>
                <w:rFonts w:ascii="Arial" w:hAnsi="Arial" w:cs="Arial"/>
                <w:i/>
                <w:sz w:val="20"/>
                <w:szCs w:val="20"/>
                <w:lang w:val="fr-CA"/>
              </w:rPr>
              <w:t>31-103 sur les obligations et dispenses d’inscription et les obligations continues des personnes inscrites</w:t>
            </w:r>
            <w:r w:rsidRPr="006D2A16">
              <w:rPr>
                <w:rFonts w:ascii="Arial" w:hAnsi="Arial" w:cs="Arial"/>
                <w:sz w:val="20"/>
                <w:szCs w:val="20"/>
                <w:lang w:val="fr-CA"/>
              </w:rPr>
              <w:t xml:space="preserve"> (le </w:t>
            </w:r>
            <w:r w:rsidRPr="006D2A16">
              <w:rPr>
                <w:rFonts w:ascii="Arial" w:hAnsi="Arial" w:cs="Arial"/>
                <w:b/>
                <w:sz w:val="20"/>
                <w:szCs w:val="20"/>
                <w:lang w:val="fr-CA"/>
              </w:rPr>
              <w:t>Règlement</w:t>
            </w:r>
            <w:r w:rsidR="00EE1F35" w:rsidRPr="006D2A16">
              <w:rPr>
                <w:rFonts w:ascii="Arial" w:hAnsi="Arial" w:cs="Arial"/>
                <w:b/>
                <w:sz w:val="20"/>
                <w:szCs w:val="20"/>
                <w:lang w:val="fr-CA"/>
              </w:rPr>
              <w:t> </w:t>
            </w:r>
            <w:r w:rsidRPr="006D2A16">
              <w:rPr>
                <w:rFonts w:ascii="Arial" w:hAnsi="Arial" w:cs="Arial"/>
                <w:b/>
                <w:sz w:val="20"/>
                <w:szCs w:val="20"/>
                <w:lang w:val="fr-CA"/>
              </w:rPr>
              <w:t>31-103</w:t>
            </w:r>
            <w:r w:rsidRPr="006D2A16">
              <w:rPr>
                <w:rFonts w:ascii="Arial" w:hAnsi="Arial" w:cs="Arial"/>
                <w:sz w:val="20"/>
                <w:szCs w:val="20"/>
                <w:lang w:val="fr-CA"/>
              </w:rPr>
              <w:t>).</w:t>
            </w:r>
          </w:p>
          <w:p w14:paraId="2D685BF0" w14:textId="77777777" w:rsidR="00A85F8B" w:rsidRPr="006D2A16" w:rsidRDefault="00A85F8B" w:rsidP="00D73131">
            <w:pPr>
              <w:pStyle w:val="BodyText"/>
              <w:ind w:right="307"/>
              <w:rPr>
                <w:rFonts w:ascii="Arial" w:hAnsi="Arial" w:cs="Arial"/>
                <w:sz w:val="20"/>
                <w:szCs w:val="20"/>
                <w:lang w:val="fr-CA"/>
              </w:rPr>
            </w:pPr>
          </w:p>
          <w:p w14:paraId="5B5BE45A" w14:textId="609AC6AE" w:rsidR="00A85F8B" w:rsidRPr="006D2A16" w:rsidRDefault="00A85F8B" w:rsidP="00D73131">
            <w:pPr>
              <w:pStyle w:val="BodyText"/>
              <w:ind w:right="307"/>
              <w:rPr>
                <w:rFonts w:ascii="Arial" w:hAnsi="Arial" w:cs="Arial"/>
                <w:sz w:val="20"/>
                <w:szCs w:val="20"/>
                <w:lang w:val="fr-CA"/>
              </w:rPr>
            </w:pPr>
            <w:r w:rsidRPr="006D2A16">
              <w:rPr>
                <w:rFonts w:ascii="Arial" w:hAnsi="Arial" w:cs="Arial"/>
                <w:sz w:val="20"/>
                <w:szCs w:val="20"/>
                <w:lang w:val="fr-CA"/>
              </w:rPr>
              <w:t>Certains intervenants soulignent que certaines modifications ont été apportées aux règles relatives au MRCC</w:t>
            </w:r>
            <w:r w:rsidR="00EE1F35" w:rsidRPr="006D2A16">
              <w:rPr>
                <w:rFonts w:ascii="Arial" w:hAnsi="Arial" w:cs="Arial"/>
                <w:sz w:val="20"/>
                <w:szCs w:val="20"/>
                <w:lang w:val="fr-CA"/>
              </w:rPr>
              <w:t> </w:t>
            </w:r>
            <w:r w:rsidRPr="006D2A16">
              <w:rPr>
                <w:rFonts w:ascii="Arial" w:hAnsi="Arial" w:cs="Arial"/>
                <w:sz w:val="20"/>
                <w:szCs w:val="20"/>
                <w:lang w:val="fr-CA"/>
              </w:rPr>
              <w:t>2 (dans le cadre de l’Avis</w:t>
            </w:r>
            <w:r w:rsidR="00EE1F35" w:rsidRPr="006D2A16">
              <w:rPr>
                <w:rFonts w:ascii="Arial" w:hAnsi="Arial" w:cs="Arial"/>
                <w:sz w:val="20"/>
                <w:szCs w:val="20"/>
                <w:lang w:val="fr-CA"/>
              </w:rPr>
              <w:t> </w:t>
            </w:r>
            <w:r w:rsidRPr="006D2A16">
              <w:rPr>
                <w:rFonts w:ascii="Arial" w:hAnsi="Arial" w:cs="Arial"/>
                <w:sz w:val="20"/>
                <w:szCs w:val="20"/>
                <w:lang w:val="fr-CA"/>
              </w:rPr>
              <w:t>17-0054) et, étant donné que le projet RLS a pour objectif de « supprimer les dispositions désuètes, redondantes et inutiles », ils estiment que cette proposition réduirait les dispositions désuètes et inutiles.</w:t>
            </w:r>
          </w:p>
          <w:p w14:paraId="490902F3" w14:textId="51D45F61" w:rsidR="00B450D6" w:rsidRPr="006D2A16" w:rsidRDefault="00B450D6" w:rsidP="00D73131">
            <w:pPr>
              <w:pStyle w:val="BodyText"/>
              <w:ind w:right="307"/>
              <w:rPr>
                <w:rFonts w:ascii="Arial" w:hAnsi="Arial" w:cs="Arial"/>
                <w:sz w:val="20"/>
                <w:szCs w:val="20"/>
                <w:lang w:val="fr-CA"/>
              </w:rPr>
            </w:pPr>
          </w:p>
          <w:p w14:paraId="1A9E37F0" w14:textId="77777777" w:rsidR="00B450D6" w:rsidRPr="006D2A16" w:rsidRDefault="00B450D6" w:rsidP="00D73131">
            <w:pPr>
              <w:pStyle w:val="BodyText"/>
              <w:ind w:right="599"/>
              <w:rPr>
                <w:rFonts w:ascii="Arial" w:hAnsi="Arial" w:cs="Arial"/>
                <w:sz w:val="20"/>
                <w:szCs w:val="20"/>
                <w:lang w:val="fr-CA"/>
              </w:rPr>
            </w:pPr>
          </w:p>
        </w:tc>
        <w:tc>
          <w:tcPr>
            <w:tcW w:w="1704" w:type="pct"/>
            <w:tcBorders>
              <w:bottom w:val="single" w:sz="4" w:space="0" w:color="auto"/>
            </w:tcBorders>
          </w:tcPr>
          <w:p w14:paraId="38138874" w14:textId="7F2F8B22" w:rsidR="00B450D6" w:rsidRPr="006D2A16" w:rsidRDefault="00A85F8B" w:rsidP="00A85F8B">
            <w:pPr>
              <w:pStyle w:val="BodyText"/>
              <w:ind w:right="307"/>
              <w:rPr>
                <w:rFonts w:ascii="Arial" w:hAnsi="Arial" w:cs="Arial"/>
                <w:sz w:val="20"/>
                <w:szCs w:val="20"/>
                <w:lang w:val="fr-CA"/>
              </w:rPr>
            </w:pPr>
            <w:r w:rsidRPr="006D2A16">
              <w:rPr>
                <w:rFonts w:ascii="Arial" w:hAnsi="Arial" w:cs="Arial"/>
                <w:sz w:val="20"/>
                <w:szCs w:val="20"/>
                <w:lang w:val="fr-CA"/>
              </w:rPr>
              <w:t>Nous sommes d’accord et avons modifié cette disposition de façon qu’elle cadre plus étroitement avec le Règlement</w:t>
            </w:r>
            <w:r w:rsidR="00EE1F35" w:rsidRPr="006D2A16">
              <w:rPr>
                <w:rFonts w:ascii="Arial" w:hAnsi="Arial" w:cs="Arial"/>
                <w:sz w:val="20"/>
                <w:szCs w:val="20"/>
                <w:lang w:val="fr-CA"/>
              </w:rPr>
              <w:t> </w:t>
            </w:r>
            <w:r w:rsidRPr="006D2A16">
              <w:rPr>
                <w:rFonts w:ascii="Arial" w:hAnsi="Arial" w:cs="Arial"/>
                <w:sz w:val="20"/>
                <w:szCs w:val="20"/>
                <w:lang w:val="fr-CA"/>
              </w:rPr>
              <w:t>31-103.</w:t>
            </w:r>
          </w:p>
          <w:p w14:paraId="55D45F05" w14:textId="77777777" w:rsidR="00B450D6" w:rsidRDefault="00B450D6" w:rsidP="00A85F8B">
            <w:pPr>
              <w:pStyle w:val="BodyText"/>
              <w:ind w:right="307"/>
              <w:rPr>
                <w:rFonts w:ascii="Arial" w:hAnsi="Arial" w:cs="Arial"/>
                <w:sz w:val="20"/>
                <w:szCs w:val="20"/>
                <w:lang w:val="fr-CA"/>
              </w:rPr>
            </w:pPr>
          </w:p>
          <w:p w14:paraId="2F2644D1" w14:textId="77777777" w:rsidR="00CF6C89" w:rsidRDefault="00CF6C89" w:rsidP="00A85F8B">
            <w:pPr>
              <w:pStyle w:val="BodyText"/>
              <w:ind w:right="307"/>
              <w:rPr>
                <w:rFonts w:ascii="Arial" w:hAnsi="Arial" w:cs="Arial"/>
                <w:sz w:val="20"/>
                <w:szCs w:val="20"/>
                <w:lang w:val="fr-CA"/>
              </w:rPr>
            </w:pPr>
          </w:p>
          <w:p w14:paraId="49C1BCEA" w14:textId="77777777" w:rsidR="00CF6C89" w:rsidRDefault="00CF6C89" w:rsidP="00A85F8B">
            <w:pPr>
              <w:pStyle w:val="BodyText"/>
              <w:ind w:right="307"/>
              <w:rPr>
                <w:rFonts w:ascii="Arial" w:hAnsi="Arial" w:cs="Arial"/>
                <w:sz w:val="20"/>
                <w:szCs w:val="20"/>
                <w:lang w:val="fr-CA"/>
              </w:rPr>
            </w:pPr>
          </w:p>
          <w:p w14:paraId="4EF35B0A" w14:textId="77777777" w:rsidR="00CF6C89" w:rsidRDefault="00CF6C89" w:rsidP="00A85F8B">
            <w:pPr>
              <w:pStyle w:val="BodyText"/>
              <w:ind w:right="307"/>
              <w:rPr>
                <w:rFonts w:ascii="Arial" w:hAnsi="Arial" w:cs="Arial"/>
                <w:sz w:val="20"/>
                <w:szCs w:val="20"/>
                <w:lang w:val="fr-CA"/>
              </w:rPr>
            </w:pPr>
          </w:p>
          <w:p w14:paraId="5C151045" w14:textId="77777777" w:rsidR="00CF6C89" w:rsidRDefault="00CF6C89" w:rsidP="00A85F8B">
            <w:pPr>
              <w:pStyle w:val="BodyText"/>
              <w:ind w:right="307"/>
              <w:rPr>
                <w:rFonts w:ascii="Arial" w:hAnsi="Arial" w:cs="Arial"/>
                <w:sz w:val="20"/>
                <w:szCs w:val="20"/>
                <w:lang w:val="fr-CA"/>
              </w:rPr>
            </w:pPr>
          </w:p>
          <w:p w14:paraId="58748BCD" w14:textId="77777777" w:rsidR="00CF6C89" w:rsidRDefault="00CF6C89" w:rsidP="00A85F8B">
            <w:pPr>
              <w:pStyle w:val="BodyText"/>
              <w:ind w:right="307"/>
              <w:rPr>
                <w:rFonts w:ascii="Arial" w:hAnsi="Arial" w:cs="Arial"/>
                <w:sz w:val="20"/>
                <w:szCs w:val="20"/>
                <w:lang w:val="fr-CA"/>
              </w:rPr>
            </w:pPr>
          </w:p>
          <w:p w14:paraId="3169FA75" w14:textId="77777777" w:rsidR="00CF6C89" w:rsidRDefault="00CF6C89" w:rsidP="00A85F8B">
            <w:pPr>
              <w:pStyle w:val="BodyText"/>
              <w:ind w:right="307"/>
              <w:rPr>
                <w:rFonts w:ascii="Arial" w:hAnsi="Arial" w:cs="Arial"/>
                <w:sz w:val="20"/>
                <w:szCs w:val="20"/>
                <w:lang w:val="fr-CA"/>
              </w:rPr>
            </w:pPr>
          </w:p>
          <w:p w14:paraId="506ED573" w14:textId="77777777" w:rsidR="00CF6C89" w:rsidRDefault="00CF6C89" w:rsidP="00A85F8B">
            <w:pPr>
              <w:pStyle w:val="BodyText"/>
              <w:ind w:right="307"/>
              <w:rPr>
                <w:rFonts w:ascii="Arial" w:hAnsi="Arial" w:cs="Arial"/>
                <w:sz w:val="20"/>
                <w:szCs w:val="20"/>
                <w:lang w:val="fr-CA"/>
              </w:rPr>
            </w:pPr>
          </w:p>
          <w:p w14:paraId="7D1573B9" w14:textId="77777777" w:rsidR="00CF6C89" w:rsidRDefault="00CF6C89" w:rsidP="00A85F8B">
            <w:pPr>
              <w:pStyle w:val="BodyText"/>
              <w:ind w:right="307"/>
              <w:rPr>
                <w:rFonts w:ascii="Arial" w:hAnsi="Arial" w:cs="Arial"/>
                <w:sz w:val="20"/>
                <w:szCs w:val="20"/>
                <w:lang w:val="fr-CA"/>
              </w:rPr>
            </w:pPr>
          </w:p>
          <w:p w14:paraId="6B7C3322" w14:textId="77777777" w:rsidR="00CF6C89" w:rsidRDefault="00CF6C89" w:rsidP="00A85F8B">
            <w:pPr>
              <w:pStyle w:val="BodyText"/>
              <w:ind w:right="307"/>
              <w:rPr>
                <w:rFonts w:ascii="Arial" w:hAnsi="Arial" w:cs="Arial"/>
                <w:sz w:val="20"/>
                <w:szCs w:val="20"/>
                <w:lang w:val="fr-CA"/>
              </w:rPr>
            </w:pPr>
          </w:p>
          <w:p w14:paraId="234E73EF" w14:textId="77777777" w:rsidR="00CF6C89" w:rsidRDefault="00CF6C89" w:rsidP="00A85F8B">
            <w:pPr>
              <w:pStyle w:val="BodyText"/>
              <w:ind w:right="307"/>
              <w:rPr>
                <w:rFonts w:ascii="Arial" w:hAnsi="Arial" w:cs="Arial"/>
                <w:sz w:val="20"/>
                <w:szCs w:val="20"/>
                <w:lang w:val="fr-CA"/>
              </w:rPr>
            </w:pPr>
          </w:p>
          <w:p w14:paraId="5DD61ED7" w14:textId="77777777" w:rsidR="00CF6C89" w:rsidRDefault="00CF6C89" w:rsidP="00A85F8B">
            <w:pPr>
              <w:pStyle w:val="BodyText"/>
              <w:ind w:right="307"/>
              <w:rPr>
                <w:rFonts w:ascii="Arial" w:hAnsi="Arial" w:cs="Arial"/>
                <w:sz w:val="20"/>
                <w:szCs w:val="20"/>
                <w:lang w:val="fr-CA"/>
              </w:rPr>
            </w:pPr>
          </w:p>
          <w:p w14:paraId="4BE47D6E" w14:textId="77777777" w:rsidR="00CF6C89" w:rsidRDefault="00CF6C89" w:rsidP="00A85F8B">
            <w:pPr>
              <w:pStyle w:val="BodyText"/>
              <w:ind w:right="307"/>
              <w:rPr>
                <w:rFonts w:ascii="Arial" w:hAnsi="Arial" w:cs="Arial"/>
                <w:sz w:val="20"/>
                <w:szCs w:val="20"/>
                <w:lang w:val="fr-CA"/>
              </w:rPr>
            </w:pPr>
          </w:p>
          <w:p w14:paraId="42D4A344" w14:textId="2E27E763" w:rsidR="00CF6C89" w:rsidRPr="006D2A16" w:rsidRDefault="00CF6C89" w:rsidP="00A85F8B">
            <w:pPr>
              <w:pStyle w:val="BodyText"/>
              <w:ind w:right="307"/>
              <w:rPr>
                <w:rFonts w:ascii="Arial" w:hAnsi="Arial" w:cs="Arial"/>
                <w:sz w:val="20"/>
                <w:szCs w:val="20"/>
                <w:lang w:val="fr-CA"/>
              </w:rPr>
            </w:pPr>
          </w:p>
        </w:tc>
      </w:tr>
      <w:tr w:rsidR="00B450D6" w:rsidRPr="006D2A16" w14:paraId="203AFA72" w14:textId="77777777" w:rsidTr="006D2A16">
        <w:tc>
          <w:tcPr>
            <w:tcW w:w="5000" w:type="pct"/>
            <w:gridSpan w:val="3"/>
            <w:shd w:val="clear" w:color="auto" w:fill="FDE9D9" w:themeFill="accent6" w:themeFillTint="33"/>
          </w:tcPr>
          <w:p w14:paraId="3A364511" w14:textId="77777777" w:rsidR="00B450D6" w:rsidRDefault="00BA401B" w:rsidP="00D73131">
            <w:pPr>
              <w:pStyle w:val="BodyText"/>
              <w:rPr>
                <w:rFonts w:ascii="Arial" w:hAnsi="Arial" w:cs="Arial"/>
                <w:sz w:val="20"/>
                <w:szCs w:val="20"/>
                <w:lang w:val="fr-CA"/>
              </w:rPr>
            </w:pPr>
            <w:r w:rsidRPr="006D2A16">
              <w:rPr>
                <w:rFonts w:ascii="Arial" w:hAnsi="Arial" w:cs="Arial"/>
                <w:sz w:val="20"/>
                <w:szCs w:val="20"/>
                <w:u w:val="single"/>
                <w:lang w:val="fr-CA"/>
              </w:rPr>
              <w:t>Article</w:t>
            </w:r>
            <w:r w:rsidR="00EE1F35" w:rsidRPr="006D2A16">
              <w:rPr>
                <w:rFonts w:ascii="Arial" w:hAnsi="Arial" w:cs="Arial"/>
                <w:sz w:val="20"/>
                <w:szCs w:val="20"/>
                <w:u w:val="single"/>
                <w:lang w:val="fr-CA"/>
              </w:rPr>
              <w:t> </w:t>
            </w:r>
            <w:r w:rsidRPr="006D2A16">
              <w:rPr>
                <w:rFonts w:ascii="Arial" w:hAnsi="Arial" w:cs="Arial"/>
                <w:sz w:val="20"/>
                <w:szCs w:val="20"/>
                <w:u w:val="single"/>
                <w:lang w:val="fr-CA"/>
              </w:rPr>
              <w:t>3909</w:t>
            </w:r>
            <w:r w:rsidR="00A85F8B" w:rsidRPr="006D2A16">
              <w:rPr>
                <w:rFonts w:ascii="Arial" w:hAnsi="Arial" w:cs="Arial"/>
                <w:sz w:val="20"/>
                <w:szCs w:val="20"/>
                <w:lang w:val="fr-CA"/>
              </w:rPr>
              <w:t xml:space="preserve"> – Exigences générales liées à la surveillance – Responsabilités du Membre de la haute direction</w:t>
            </w:r>
          </w:p>
          <w:p w14:paraId="067DB951" w14:textId="25C9650C" w:rsidR="00CF6C89" w:rsidRPr="006D2A16" w:rsidRDefault="00CF6C89" w:rsidP="00D73131">
            <w:pPr>
              <w:pStyle w:val="BodyText"/>
              <w:rPr>
                <w:rFonts w:ascii="Arial" w:hAnsi="Arial" w:cs="Arial"/>
                <w:sz w:val="20"/>
                <w:szCs w:val="20"/>
                <w:lang w:val="fr-CA"/>
              </w:rPr>
            </w:pPr>
          </w:p>
        </w:tc>
      </w:tr>
      <w:tr w:rsidR="00B450D6" w:rsidRPr="006D2A16" w14:paraId="69B2B8A8" w14:textId="77777777" w:rsidTr="006D2A16">
        <w:trPr>
          <w:gridAfter w:val="1"/>
          <w:wAfter w:w="3" w:type="pct"/>
        </w:trPr>
        <w:tc>
          <w:tcPr>
            <w:tcW w:w="3293" w:type="pct"/>
          </w:tcPr>
          <w:p w14:paraId="19B4A051" w14:textId="630A7253" w:rsidR="00B450D6" w:rsidRPr="006D2A16" w:rsidRDefault="00A85F8B" w:rsidP="00D73131">
            <w:pPr>
              <w:pStyle w:val="BodyText"/>
              <w:ind w:right="192"/>
              <w:jc w:val="both"/>
              <w:rPr>
                <w:rFonts w:ascii="Arial" w:hAnsi="Arial" w:cs="Arial"/>
                <w:sz w:val="20"/>
                <w:szCs w:val="20"/>
                <w:lang w:val="fr-CA"/>
              </w:rPr>
            </w:pPr>
            <w:r w:rsidRPr="006D2A16">
              <w:rPr>
                <w:rFonts w:ascii="Arial" w:hAnsi="Arial" w:cs="Arial"/>
                <w:sz w:val="20"/>
                <w:szCs w:val="20"/>
                <w:lang w:val="fr-CA"/>
              </w:rPr>
              <w:t>Les intervenants jugent que ce projet de règle est trop vague et qu’il devrait préciser ce que le Membre de la haute direction est censé faire pour s’acquitter de ces nouvelles responsabilités. Il ne serait pas réaliste de s’en remettre aux orientations futures pour comprendre parfaitement ces nouvelles responsabilités puisqu’il s’agit d’une modification importante des règles.</w:t>
            </w:r>
          </w:p>
          <w:p w14:paraId="3B90EFDE" w14:textId="77777777" w:rsidR="00B450D6" w:rsidRPr="006D2A16" w:rsidRDefault="00B450D6" w:rsidP="00D73131">
            <w:pPr>
              <w:pStyle w:val="BodyText"/>
              <w:ind w:right="599"/>
              <w:rPr>
                <w:rFonts w:ascii="Arial" w:hAnsi="Arial" w:cs="Arial"/>
                <w:sz w:val="20"/>
                <w:szCs w:val="20"/>
                <w:lang w:val="fr-CA"/>
              </w:rPr>
            </w:pPr>
          </w:p>
        </w:tc>
        <w:tc>
          <w:tcPr>
            <w:tcW w:w="1704" w:type="pct"/>
            <w:tcBorders>
              <w:bottom w:val="single" w:sz="4" w:space="0" w:color="auto"/>
            </w:tcBorders>
          </w:tcPr>
          <w:p w14:paraId="2A80FF5D" w14:textId="43F81A14" w:rsidR="00A85F8B" w:rsidRPr="006D2A16" w:rsidRDefault="00A85F8B" w:rsidP="00D73131">
            <w:pPr>
              <w:pStyle w:val="BodyText"/>
              <w:ind w:right="141"/>
              <w:rPr>
                <w:rFonts w:ascii="Arial" w:hAnsi="Arial" w:cs="Arial"/>
                <w:sz w:val="20"/>
                <w:szCs w:val="20"/>
                <w:lang w:val="fr-CA"/>
              </w:rPr>
            </w:pPr>
            <w:r w:rsidRPr="006D2A16">
              <w:rPr>
                <w:rFonts w:ascii="Arial" w:hAnsi="Arial" w:cs="Arial"/>
                <w:sz w:val="20"/>
                <w:szCs w:val="20"/>
                <w:lang w:val="fr-CA"/>
              </w:rPr>
              <w:t>Comme l’indique l’Avis</w:t>
            </w:r>
            <w:r w:rsidR="00EE1F35" w:rsidRPr="006D2A16">
              <w:rPr>
                <w:rFonts w:ascii="Arial" w:hAnsi="Arial" w:cs="Arial"/>
                <w:sz w:val="20"/>
                <w:szCs w:val="20"/>
                <w:lang w:val="fr-CA"/>
              </w:rPr>
              <w:t> </w:t>
            </w:r>
            <w:r w:rsidRPr="006D2A16">
              <w:rPr>
                <w:rFonts w:ascii="Arial" w:hAnsi="Arial" w:cs="Arial"/>
                <w:sz w:val="20"/>
                <w:szCs w:val="20"/>
                <w:lang w:val="fr-CA"/>
              </w:rPr>
              <w:t>16-0052, l’article</w:t>
            </w:r>
            <w:r w:rsidR="00EE1F35" w:rsidRPr="006D2A16">
              <w:rPr>
                <w:rFonts w:ascii="Arial" w:hAnsi="Arial" w:cs="Arial"/>
                <w:sz w:val="20"/>
                <w:szCs w:val="20"/>
                <w:lang w:val="fr-CA"/>
              </w:rPr>
              <w:t> </w:t>
            </w:r>
            <w:r w:rsidRPr="006D2A16">
              <w:rPr>
                <w:rFonts w:ascii="Arial" w:hAnsi="Arial" w:cs="Arial"/>
                <w:sz w:val="20"/>
                <w:szCs w:val="20"/>
                <w:lang w:val="fr-CA"/>
              </w:rPr>
              <w:t>3909 vise à permettre aux courtiers membres de nommer autant de Membres de la haute direction que nécessaire pour se conformer aux exigences de l’OCRCVM (ce qui cadre avec les exigences du paragraphe</w:t>
            </w:r>
            <w:r w:rsidR="00EE1F35" w:rsidRPr="006D2A16">
              <w:rPr>
                <w:rFonts w:ascii="Arial" w:hAnsi="Arial" w:cs="Arial"/>
                <w:sz w:val="20"/>
                <w:szCs w:val="20"/>
                <w:lang w:val="fr-CA"/>
              </w:rPr>
              <w:t> </w:t>
            </w:r>
            <w:r w:rsidRPr="006D2A16">
              <w:rPr>
                <w:rFonts w:ascii="Arial" w:hAnsi="Arial" w:cs="Arial"/>
                <w:sz w:val="20"/>
                <w:szCs w:val="20"/>
                <w:lang w:val="fr-CA"/>
              </w:rPr>
              <w:t>3905(3)).</w:t>
            </w:r>
          </w:p>
          <w:p w14:paraId="49B14E43" w14:textId="77777777" w:rsidR="00A85F8B" w:rsidRPr="006D2A16" w:rsidRDefault="00A85F8B" w:rsidP="00D73131">
            <w:pPr>
              <w:pStyle w:val="BodyText"/>
              <w:ind w:right="141"/>
              <w:rPr>
                <w:rFonts w:ascii="Arial" w:hAnsi="Arial" w:cs="Arial"/>
                <w:sz w:val="20"/>
                <w:szCs w:val="20"/>
                <w:lang w:val="fr-CA"/>
              </w:rPr>
            </w:pPr>
          </w:p>
          <w:p w14:paraId="4F19B096" w14:textId="47781204" w:rsidR="00A85F8B" w:rsidRPr="006D2A16" w:rsidRDefault="00A85F8B" w:rsidP="00D73131">
            <w:pPr>
              <w:pStyle w:val="BodyText"/>
              <w:ind w:right="141"/>
              <w:rPr>
                <w:rFonts w:ascii="Arial" w:hAnsi="Arial" w:cs="Arial"/>
                <w:sz w:val="20"/>
                <w:szCs w:val="20"/>
                <w:lang w:val="fr-CA"/>
              </w:rPr>
            </w:pPr>
            <w:r w:rsidRPr="006D2A16">
              <w:rPr>
                <w:rFonts w:ascii="Arial" w:hAnsi="Arial" w:cs="Arial"/>
                <w:sz w:val="20"/>
                <w:szCs w:val="20"/>
                <w:lang w:val="fr-CA"/>
              </w:rPr>
              <w:t>Veuillez vous reporter à l’Avis</w:t>
            </w:r>
            <w:r w:rsidR="00EE1F35" w:rsidRPr="006D2A16">
              <w:rPr>
                <w:rFonts w:ascii="Arial" w:hAnsi="Arial" w:cs="Arial"/>
                <w:sz w:val="20"/>
                <w:szCs w:val="20"/>
                <w:lang w:val="fr-CA"/>
              </w:rPr>
              <w:t> </w:t>
            </w:r>
            <w:r w:rsidRPr="006D2A16">
              <w:rPr>
                <w:rFonts w:ascii="Arial" w:hAnsi="Arial" w:cs="Arial"/>
                <w:sz w:val="20"/>
                <w:szCs w:val="20"/>
                <w:lang w:val="fr-CA"/>
              </w:rPr>
              <w:t xml:space="preserve">12-0379 – </w:t>
            </w:r>
            <w:r w:rsidRPr="006D2A16">
              <w:rPr>
                <w:rFonts w:ascii="Arial" w:hAnsi="Arial" w:cs="Arial"/>
                <w:i/>
                <w:sz w:val="20"/>
                <w:szCs w:val="20"/>
                <w:lang w:val="fr-CA"/>
              </w:rPr>
              <w:t>Rôles de la conformité et de la surveillance</w:t>
            </w:r>
            <w:r w:rsidRPr="006D2A16">
              <w:rPr>
                <w:rFonts w:ascii="Arial" w:hAnsi="Arial" w:cs="Arial"/>
                <w:sz w:val="20"/>
                <w:szCs w:val="20"/>
                <w:lang w:val="fr-CA"/>
              </w:rPr>
              <w:t>, qui codifie les attentes à l’égard des rôles que doivent jouer les Membres de la haute direction d’un courtier membre.</w:t>
            </w:r>
          </w:p>
          <w:p w14:paraId="18C9F3CF" w14:textId="77777777" w:rsidR="00A85F8B" w:rsidRPr="006D2A16" w:rsidRDefault="00A85F8B" w:rsidP="00D73131">
            <w:pPr>
              <w:pStyle w:val="BodyText"/>
              <w:ind w:right="141"/>
              <w:rPr>
                <w:rFonts w:ascii="Arial" w:hAnsi="Arial" w:cs="Arial"/>
                <w:sz w:val="20"/>
                <w:szCs w:val="20"/>
                <w:lang w:val="fr-CA"/>
              </w:rPr>
            </w:pPr>
          </w:p>
          <w:p w14:paraId="57E23328" w14:textId="77777777" w:rsidR="00A85F8B" w:rsidRPr="006D2A16" w:rsidRDefault="00A85F8B" w:rsidP="00D73131">
            <w:pPr>
              <w:pStyle w:val="BodyText"/>
              <w:ind w:right="141"/>
              <w:rPr>
                <w:rFonts w:ascii="Arial" w:hAnsi="Arial" w:cs="Arial"/>
                <w:sz w:val="20"/>
                <w:szCs w:val="20"/>
                <w:lang w:val="fr-CA"/>
              </w:rPr>
            </w:pPr>
            <w:r w:rsidRPr="006D2A16">
              <w:rPr>
                <w:rFonts w:ascii="Arial" w:hAnsi="Arial" w:cs="Arial"/>
                <w:sz w:val="20"/>
                <w:szCs w:val="20"/>
                <w:lang w:val="fr-CA"/>
              </w:rPr>
              <w:t>Nous examinerons s’il y a lieu de fournir des orientations supplémentaires sur le rôle des Membres de la haute direction dans le cadre de notre examen continu.</w:t>
            </w:r>
          </w:p>
          <w:p w14:paraId="18A1CBD4" w14:textId="5793B060" w:rsidR="00B450D6" w:rsidRPr="006D2A16" w:rsidRDefault="00B450D6" w:rsidP="00D73131">
            <w:pPr>
              <w:pStyle w:val="BodyText"/>
              <w:ind w:right="141"/>
              <w:rPr>
                <w:rFonts w:ascii="Arial" w:hAnsi="Arial" w:cs="Arial"/>
                <w:sz w:val="20"/>
                <w:szCs w:val="20"/>
                <w:lang w:val="fr-CA"/>
              </w:rPr>
            </w:pPr>
          </w:p>
          <w:p w14:paraId="424EF250" w14:textId="77777777" w:rsidR="00B450D6" w:rsidRPr="006D2A16" w:rsidRDefault="00B450D6" w:rsidP="00D73131">
            <w:pPr>
              <w:pStyle w:val="BodyText"/>
              <w:rPr>
                <w:rFonts w:ascii="Arial" w:hAnsi="Arial" w:cs="Arial"/>
                <w:sz w:val="20"/>
                <w:szCs w:val="20"/>
                <w:lang w:val="fr-CA"/>
              </w:rPr>
            </w:pPr>
          </w:p>
        </w:tc>
      </w:tr>
      <w:tr w:rsidR="00B450D6" w:rsidRPr="006D2A16" w14:paraId="25936F3A" w14:textId="77777777" w:rsidTr="006D2A16">
        <w:tc>
          <w:tcPr>
            <w:tcW w:w="5000" w:type="pct"/>
            <w:gridSpan w:val="3"/>
            <w:shd w:val="clear" w:color="auto" w:fill="FDE9D9" w:themeFill="accent6" w:themeFillTint="33"/>
          </w:tcPr>
          <w:p w14:paraId="7A336189" w14:textId="77777777" w:rsidR="00B450D6" w:rsidRDefault="00A85F8B" w:rsidP="00F54035">
            <w:pPr>
              <w:pStyle w:val="BodyText"/>
              <w:rPr>
                <w:rFonts w:ascii="Arial" w:hAnsi="Arial" w:cs="Arial"/>
                <w:sz w:val="20"/>
                <w:szCs w:val="20"/>
                <w:lang w:val="fr-CA"/>
              </w:rPr>
            </w:pPr>
            <w:r w:rsidRPr="006D2A16">
              <w:rPr>
                <w:rFonts w:ascii="Arial" w:hAnsi="Arial" w:cs="Arial"/>
                <w:sz w:val="20"/>
                <w:szCs w:val="20"/>
                <w:u w:val="single"/>
                <w:lang w:val="fr-CA"/>
              </w:rPr>
              <w:t>Pa</w:t>
            </w:r>
            <w:r w:rsidR="00BA401B" w:rsidRPr="006D2A16">
              <w:rPr>
                <w:rFonts w:ascii="Arial" w:hAnsi="Arial" w:cs="Arial"/>
                <w:sz w:val="20"/>
                <w:szCs w:val="20"/>
                <w:u w:val="single"/>
                <w:lang w:val="fr-CA"/>
              </w:rPr>
              <w:t>ragraphes</w:t>
            </w:r>
            <w:r w:rsidR="00EE1F35" w:rsidRPr="006D2A16">
              <w:rPr>
                <w:rFonts w:ascii="Arial" w:hAnsi="Arial" w:cs="Arial"/>
                <w:sz w:val="20"/>
                <w:szCs w:val="20"/>
                <w:u w:val="single"/>
                <w:lang w:val="fr-CA"/>
              </w:rPr>
              <w:t> </w:t>
            </w:r>
            <w:r w:rsidR="00BA401B" w:rsidRPr="006D2A16">
              <w:rPr>
                <w:rFonts w:ascii="Arial" w:hAnsi="Arial" w:cs="Arial"/>
                <w:sz w:val="20"/>
                <w:szCs w:val="20"/>
                <w:u w:val="single"/>
                <w:lang w:val="fr-CA"/>
              </w:rPr>
              <w:t>3971(3) et (4)</w:t>
            </w:r>
            <w:r w:rsidRPr="006D2A16">
              <w:rPr>
                <w:rFonts w:ascii="Arial" w:hAnsi="Arial" w:cs="Arial"/>
                <w:sz w:val="20"/>
                <w:szCs w:val="20"/>
                <w:lang w:val="fr-CA"/>
              </w:rPr>
              <w:t xml:space="preserve"> – Surveillance des comptes carte blanche et des comptes gérés – Surveillance des comptes gérés [</w:t>
            </w:r>
            <w:r w:rsidRPr="006D2A16">
              <w:rPr>
                <w:rFonts w:ascii="Arial" w:hAnsi="Arial" w:cs="Arial"/>
                <w:i/>
                <w:sz w:val="20"/>
                <w:szCs w:val="20"/>
                <w:lang w:val="fr-CA"/>
              </w:rPr>
              <w:t>anciens</w:t>
            </w:r>
            <w:r w:rsidRPr="006D2A16">
              <w:rPr>
                <w:rFonts w:ascii="Arial" w:hAnsi="Arial" w:cs="Arial"/>
                <w:sz w:val="20"/>
                <w:szCs w:val="20"/>
                <w:lang w:val="fr-CA"/>
              </w:rPr>
              <w:t xml:space="preserve"> </w:t>
            </w:r>
            <w:r w:rsidRPr="006D2A16">
              <w:rPr>
                <w:rFonts w:ascii="Arial" w:hAnsi="Arial" w:cs="Arial"/>
                <w:i/>
                <w:sz w:val="20"/>
                <w:szCs w:val="20"/>
                <w:lang w:val="fr-CA"/>
              </w:rPr>
              <w:t>pa</w:t>
            </w:r>
            <w:r w:rsidR="00BA401B" w:rsidRPr="006D2A16">
              <w:rPr>
                <w:rFonts w:ascii="Arial" w:hAnsi="Arial" w:cs="Arial"/>
                <w:i/>
                <w:sz w:val="20"/>
                <w:szCs w:val="20"/>
                <w:lang w:val="fr-CA"/>
              </w:rPr>
              <w:t>ragraphes</w:t>
            </w:r>
            <w:r w:rsidR="00EE1F35" w:rsidRPr="006D2A16">
              <w:rPr>
                <w:rFonts w:ascii="Arial" w:hAnsi="Arial" w:cs="Arial"/>
                <w:i/>
                <w:sz w:val="20"/>
                <w:szCs w:val="20"/>
                <w:lang w:val="fr-CA"/>
              </w:rPr>
              <w:t> </w:t>
            </w:r>
            <w:r w:rsidR="00BA401B" w:rsidRPr="006D2A16">
              <w:rPr>
                <w:rFonts w:ascii="Arial" w:hAnsi="Arial" w:cs="Arial"/>
                <w:i/>
                <w:sz w:val="20"/>
                <w:szCs w:val="20"/>
                <w:lang w:val="fr-CA"/>
              </w:rPr>
              <w:t>3970(3) et (4)</w:t>
            </w:r>
            <w:r w:rsidRPr="006D2A16">
              <w:rPr>
                <w:rFonts w:ascii="Arial" w:hAnsi="Arial" w:cs="Arial"/>
                <w:sz w:val="20"/>
                <w:szCs w:val="20"/>
                <w:lang w:val="fr-CA"/>
              </w:rPr>
              <w:t>]</w:t>
            </w:r>
          </w:p>
          <w:p w14:paraId="362431B3" w14:textId="63B036CE" w:rsidR="00CF6C89" w:rsidRPr="006D2A16" w:rsidRDefault="00CF6C89" w:rsidP="00F54035">
            <w:pPr>
              <w:pStyle w:val="BodyText"/>
              <w:rPr>
                <w:rFonts w:ascii="Arial" w:hAnsi="Arial" w:cs="Arial"/>
                <w:i/>
                <w:sz w:val="20"/>
                <w:szCs w:val="20"/>
                <w:lang w:val="fr-CA"/>
              </w:rPr>
            </w:pPr>
          </w:p>
        </w:tc>
      </w:tr>
      <w:tr w:rsidR="00B450D6" w:rsidRPr="006D2A16" w14:paraId="68B01A35" w14:textId="77777777" w:rsidTr="006D2A16">
        <w:trPr>
          <w:gridAfter w:val="1"/>
          <w:wAfter w:w="3" w:type="pct"/>
        </w:trPr>
        <w:tc>
          <w:tcPr>
            <w:tcW w:w="3293" w:type="pct"/>
          </w:tcPr>
          <w:p w14:paraId="7CEA3344" w14:textId="2E94A841" w:rsidR="00B450D6" w:rsidRPr="006D2A16" w:rsidRDefault="00A85F8B" w:rsidP="00D73131">
            <w:pPr>
              <w:pStyle w:val="BodyText"/>
              <w:ind w:right="308"/>
              <w:rPr>
                <w:rFonts w:ascii="Arial" w:hAnsi="Arial" w:cs="Arial"/>
                <w:sz w:val="20"/>
                <w:szCs w:val="20"/>
                <w:lang w:val="fr-CA"/>
              </w:rPr>
            </w:pPr>
            <w:r w:rsidRPr="006D2A16">
              <w:rPr>
                <w:rFonts w:ascii="Arial" w:hAnsi="Arial" w:cs="Arial"/>
                <w:sz w:val="20"/>
                <w:szCs w:val="20"/>
                <w:lang w:val="fr-CA"/>
              </w:rPr>
              <w:t>Les intervenants demandent des orientations supplémentaires sur les nouvelles exigences liées à la surveillance directe d’un Gestionnaire de portefeuille adjoint et à l’approbation préalable des conseils.</w:t>
            </w:r>
          </w:p>
        </w:tc>
        <w:tc>
          <w:tcPr>
            <w:tcW w:w="1704" w:type="pct"/>
            <w:tcBorders>
              <w:bottom w:val="single" w:sz="4" w:space="0" w:color="auto"/>
            </w:tcBorders>
          </w:tcPr>
          <w:p w14:paraId="5C7C7CD3" w14:textId="770925FB" w:rsidR="00A85F8B" w:rsidRPr="006D2A16" w:rsidRDefault="00A85F8B" w:rsidP="00D73131">
            <w:pPr>
              <w:pStyle w:val="BodyText"/>
              <w:ind w:right="429"/>
              <w:rPr>
                <w:rFonts w:ascii="Arial" w:hAnsi="Arial" w:cs="Arial"/>
                <w:sz w:val="20"/>
                <w:szCs w:val="20"/>
                <w:lang w:val="fr-CA"/>
              </w:rPr>
            </w:pPr>
            <w:r w:rsidRPr="006D2A16">
              <w:rPr>
                <w:rFonts w:ascii="Arial" w:hAnsi="Arial" w:cs="Arial"/>
                <w:sz w:val="20"/>
                <w:szCs w:val="20"/>
                <w:lang w:val="fr-CA"/>
              </w:rPr>
              <w:t>La surveillance prévue à l’article</w:t>
            </w:r>
            <w:r w:rsidR="00EE1F35" w:rsidRPr="006D2A16">
              <w:rPr>
                <w:rFonts w:ascii="Arial" w:hAnsi="Arial" w:cs="Arial"/>
                <w:sz w:val="20"/>
                <w:szCs w:val="20"/>
                <w:lang w:val="fr-CA"/>
              </w:rPr>
              <w:t> </w:t>
            </w:r>
            <w:r w:rsidRPr="006D2A16">
              <w:rPr>
                <w:rFonts w:ascii="Arial" w:hAnsi="Arial" w:cs="Arial"/>
                <w:sz w:val="20"/>
                <w:szCs w:val="20"/>
                <w:lang w:val="fr-CA"/>
              </w:rPr>
              <w:t>3971 permet de vérifier, entre autres, que le Gestionnaire de portefeuille adjoint ne donne pas de conseils et que, si jamais il le</w:t>
            </w:r>
            <w:r w:rsidR="0047264A">
              <w:rPr>
                <w:rFonts w:ascii="Arial" w:hAnsi="Arial" w:cs="Arial"/>
                <w:sz w:val="20"/>
                <w:szCs w:val="20"/>
                <w:lang w:val="fr-CA"/>
              </w:rPr>
              <w:t> </w:t>
            </w:r>
            <w:r w:rsidRPr="006D2A16">
              <w:rPr>
                <w:rFonts w:ascii="Arial" w:hAnsi="Arial" w:cs="Arial"/>
                <w:sz w:val="20"/>
                <w:szCs w:val="20"/>
                <w:lang w:val="fr-CA"/>
              </w:rPr>
              <w:t>fait, ces conseils ont été approuvés</w:t>
            </w:r>
            <w:r w:rsidR="00EE1F35" w:rsidRPr="006D2A16">
              <w:rPr>
                <w:rFonts w:ascii="Arial" w:hAnsi="Arial" w:cs="Arial"/>
                <w:sz w:val="20"/>
                <w:szCs w:val="20"/>
                <w:lang w:val="fr-CA"/>
              </w:rPr>
              <w:t xml:space="preserve"> </w:t>
            </w:r>
            <w:r w:rsidRPr="006D2A16">
              <w:rPr>
                <w:rFonts w:ascii="Arial" w:hAnsi="Arial" w:cs="Arial"/>
                <w:sz w:val="20"/>
                <w:szCs w:val="20"/>
                <w:lang w:val="fr-CA"/>
              </w:rPr>
              <w:t>au préalable par le Gestionnaire de portefeuille.</w:t>
            </w:r>
          </w:p>
          <w:p w14:paraId="1CF36C5D" w14:textId="77777777" w:rsidR="00A85F8B" w:rsidRPr="006D2A16" w:rsidRDefault="00A85F8B" w:rsidP="00D73131">
            <w:pPr>
              <w:pStyle w:val="BodyText"/>
              <w:ind w:right="429"/>
              <w:rPr>
                <w:rFonts w:ascii="Arial" w:hAnsi="Arial" w:cs="Arial"/>
                <w:sz w:val="20"/>
                <w:szCs w:val="20"/>
                <w:lang w:val="fr-CA"/>
              </w:rPr>
            </w:pPr>
          </w:p>
          <w:p w14:paraId="294C338B" w14:textId="02E9EFBD" w:rsidR="00A85F8B" w:rsidRPr="006D2A16" w:rsidRDefault="00A85F8B" w:rsidP="00D73131">
            <w:pPr>
              <w:pStyle w:val="BodyText"/>
              <w:ind w:right="429"/>
              <w:rPr>
                <w:rFonts w:ascii="Arial" w:hAnsi="Arial" w:cs="Arial"/>
                <w:sz w:val="20"/>
                <w:szCs w:val="20"/>
                <w:lang w:val="fr-CA"/>
              </w:rPr>
            </w:pPr>
            <w:r w:rsidRPr="006D2A16">
              <w:rPr>
                <w:rFonts w:ascii="Arial" w:hAnsi="Arial" w:cs="Arial"/>
                <w:sz w:val="20"/>
                <w:szCs w:val="20"/>
                <w:lang w:val="fr-CA"/>
              </w:rPr>
              <w:t>Les surveillants de comptes gérés sont responsables de la surveillance des comptes gérés, conformément à la Partie G de la Règle</w:t>
            </w:r>
            <w:r w:rsidR="00EE1F35" w:rsidRPr="006D2A16">
              <w:rPr>
                <w:rFonts w:ascii="Arial" w:hAnsi="Arial" w:cs="Arial"/>
                <w:sz w:val="20"/>
                <w:szCs w:val="20"/>
                <w:lang w:val="fr-CA"/>
              </w:rPr>
              <w:t> </w:t>
            </w:r>
            <w:r w:rsidRPr="006D2A16">
              <w:rPr>
                <w:rFonts w:ascii="Arial" w:hAnsi="Arial" w:cs="Arial"/>
                <w:sz w:val="20"/>
                <w:szCs w:val="20"/>
                <w:lang w:val="fr-CA"/>
              </w:rPr>
              <w:t>3900 des RLS, à la Partie G de la Règle</w:t>
            </w:r>
            <w:r w:rsidR="00EE1F35" w:rsidRPr="006D2A16">
              <w:rPr>
                <w:rFonts w:ascii="Arial" w:hAnsi="Arial" w:cs="Arial"/>
                <w:sz w:val="20"/>
                <w:szCs w:val="20"/>
                <w:lang w:val="fr-CA"/>
              </w:rPr>
              <w:t> </w:t>
            </w:r>
            <w:r w:rsidRPr="006D2A16">
              <w:rPr>
                <w:rFonts w:ascii="Arial" w:hAnsi="Arial" w:cs="Arial"/>
                <w:sz w:val="20"/>
                <w:szCs w:val="20"/>
                <w:lang w:val="fr-CA"/>
              </w:rPr>
              <w:t>3200 des RLS et à toute autre exigence applicable de l’OCRCVM.</w:t>
            </w:r>
          </w:p>
          <w:p w14:paraId="0E0E33DC" w14:textId="6E395A5A" w:rsidR="00B450D6" w:rsidRPr="006D2A16" w:rsidRDefault="00B450D6" w:rsidP="00D73131">
            <w:pPr>
              <w:pStyle w:val="BodyText"/>
              <w:ind w:right="429"/>
              <w:rPr>
                <w:rFonts w:ascii="Arial" w:hAnsi="Arial" w:cs="Arial"/>
                <w:sz w:val="20"/>
                <w:szCs w:val="20"/>
                <w:lang w:val="fr-CA"/>
              </w:rPr>
            </w:pPr>
          </w:p>
          <w:p w14:paraId="668E7270" w14:textId="3F113A10" w:rsidR="00B450D6" w:rsidRPr="006D2A16" w:rsidRDefault="00B450D6" w:rsidP="00D73131">
            <w:pPr>
              <w:pStyle w:val="BodyText"/>
              <w:ind w:right="141"/>
              <w:rPr>
                <w:rFonts w:ascii="Arial" w:hAnsi="Arial" w:cs="Arial"/>
                <w:sz w:val="20"/>
                <w:szCs w:val="20"/>
                <w:lang w:val="fr-CA"/>
              </w:rPr>
            </w:pPr>
          </w:p>
          <w:p w14:paraId="3FBDA001" w14:textId="77777777" w:rsidR="00B450D6" w:rsidRPr="006D2A16" w:rsidRDefault="00B450D6" w:rsidP="00D73131">
            <w:pPr>
              <w:pStyle w:val="BodyText"/>
              <w:rPr>
                <w:rFonts w:ascii="Arial" w:hAnsi="Arial" w:cs="Arial"/>
                <w:sz w:val="20"/>
                <w:szCs w:val="20"/>
                <w:lang w:val="fr-CA"/>
              </w:rPr>
            </w:pPr>
          </w:p>
        </w:tc>
      </w:tr>
      <w:tr w:rsidR="00B450D6" w:rsidRPr="001374EE" w14:paraId="17730CB5" w14:textId="77777777" w:rsidTr="006D2A16">
        <w:tc>
          <w:tcPr>
            <w:tcW w:w="5000" w:type="pct"/>
            <w:gridSpan w:val="3"/>
            <w:shd w:val="clear" w:color="auto" w:fill="FBD4B4" w:themeFill="accent6" w:themeFillTint="66"/>
          </w:tcPr>
          <w:p w14:paraId="32D8EAA3" w14:textId="77777777" w:rsidR="00B450D6" w:rsidRDefault="00BA401B" w:rsidP="00BA401B">
            <w:pPr>
              <w:rPr>
                <w:rFonts w:ascii="Arial" w:hAnsi="Arial" w:cs="Arial"/>
                <w:b/>
                <w:sz w:val="20"/>
                <w:szCs w:val="20"/>
              </w:rPr>
            </w:pPr>
            <w:r>
              <w:rPr>
                <w:rFonts w:ascii="Arial" w:hAnsi="Arial" w:cs="Arial"/>
                <w:b/>
                <w:sz w:val="20"/>
                <w:szCs w:val="20"/>
              </w:rPr>
              <w:t>Série</w:t>
            </w:r>
            <w:r w:rsidR="00EE1F35">
              <w:rPr>
                <w:rFonts w:ascii="Arial" w:hAnsi="Arial" w:cs="Arial"/>
                <w:b/>
                <w:sz w:val="20"/>
                <w:szCs w:val="20"/>
              </w:rPr>
              <w:t> </w:t>
            </w:r>
            <w:r>
              <w:rPr>
                <w:rFonts w:ascii="Arial" w:hAnsi="Arial" w:cs="Arial"/>
                <w:b/>
                <w:sz w:val="20"/>
                <w:szCs w:val="20"/>
              </w:rPr>
              <w:t>5000</w:t>
            </w:r>
          </w:p>
          <w:p w14:paraId="635037A1" w14:textId="4E266AB8" w:rsidR="00CF6C89" w:rsidRPr="001374EE" w:rsidRDefault="00CF6C89" w:rsidP="00BA401B">
            <w:pPr>
              <w:rPr>
                <w:rFonts w:ascii="Arial" w:hAnsi="Arial" w:cs="Arial"/>
                <w:b/>
                <w:sz w:val="20"/>
                <w:szCs w:val="20"/>
              </w:rPr>
            </w:pPr>
          </w:p>
        </w:tc>
      </w:tr>
      <w:tr w:rsidR="002A6018" w:rsidRPr="001374EE" w14:paraId="4EAC4E94" w14:textId="77777777" w:rsidTr="006D2A16">
        <w:tc>
          <w:tcPr>
            <w:tcW w:w="5000" w:type="pct"/>
            <w:gridSpan w:val="3"/>
            <w:shd w:val="clear" w:color="auto" w:fill="FDE9D9" w:themeFill="accent6" w:themeFillTint="33"/>
          </w:tcPr>
          <w:p w14:paraId="5F7FBD02" w14:textId="70D832F7" w:rsidR="002A6018" w:rsidRDefault="00A85F8B" w:rsidP="00D73131">
            <w:pPr>
              <w:pStyle w:val="BodyText"/>
              <w:rPr>
                <w:rFonts w:ascii="Arial" w:hAnsi="Arial" w:cs="Arial"/>
                <w:sz w:val="20"/>
                <w:szCs w:val="20"/>
              </w:rPr>
            </w:pPr>
            <w:r>
              <w:rPr>
                <w:rFonts w:ascii="Arial" w:hAnsi="Arial" w:cs="Arial"/>
                <w:sz w:val="20"/>
                <w:szCs w:val="20"/>
              </w:rPr>
              <w:t xml:space="preserve">Commentaires d’ordre </w:t>
            </w:r>
            <w:r w:rsidR="00CF6C89">
              <w:rPr>
                <w:rFonts w:ascii="Arial" w:hAnsi="Arial" w:cs="Arial"/>
                <w:sz w:val="20"/>
                <w:szCs w:val="20"/>
              </w:rPr>
              <w:t>general</w:t>
            </w:r>
          </w:p>
          <w:p w14:paraId="4E69DF67" w14:textId="722A655E" w:rsidR="00CF6C89" w:rsidRPr="001374EE" w:rsidRDefault="00CF6C89" w:rsidP="00D73131">
            <w:pPr>
              <w:pStyle w:val="BodyText"/>
              <w:rPr>
                <w:rFonts w:ascii="Arial" w:hAnsi="Arial" w:cs="Arial"/>
                <w:sz w:val="20"/>
                <w:szCs w:val="20"/>
              </w:rPr>
            </w:pPr>
          </w:p>
        </w:tc>
      </w:tr>
      <w:tr w:rsidR="00B450D6" w:rsidRPr="006D2A16" w14:paraId="3C4D8AE7" w14:textId="77777777" w:rsidTr="006D2A16">
        <w:trPr>
          <w:gridAfter w:val="1"/>
          <w:wAfter w:w="3" w:type="pct"/>
        </w:trPr>
        <w:tc>
          <w:tcPr>
            <w:tcW w:w="3293" w:type="pct"/>
          </w:tcPr>
          <w:p w14:paraId="68B0A5BA" w14:textId="4A26CC43" w:rsidR="00B450D6" w:rsidRPr="006D2A16" w:rsidRDefault="00A85F8B" w:rsidP="00F54035">
            <w:pPr>
              <w:pStyle w:val="BodyText"/>
              <w:ind w:right="599"/>
              <w:rPr>
                <w:rFonts w:ascii="Arial" w:hAnsi="Arial" w:cs="Arial"/>
                <w:sz w:val="20"/>
                <w:szCs w:val="20"/>
                <w:lang w:val="fr-CA"/>
              </w:rPr>
            </w:pPr>
            <w:r w:rsidRPr="006D2A16">
              <w:rPr>
                <w:rFonts w:ascii="Arial" w:hAnsi="Arial" w:cs="Arial"/>
                <w:sz w:val="20"/>
                <w:szCs w:val="20"/>
                <w:lang w:val="fr-CA"/>
              </w:rPr>
              <w:t>Lorsque les RLS mentionnent les agences de notation acceptables, les intervenants recommandent à l’OCRCVM d’examiner le bien-fondé d’adopter une définition plus large semblable à la définition d’« agence de notation désignée » des ACVM.</w:t>
            </w:r>
          </w:p>
        </w:tc>
        <w:tc>
          <w:tcPr>
            <w:tcW w:w="1704" w:type="pct"/>
            <w:tcBorders>
              <w:bottom w:val="single" w:sz="4" w:space="0" w:color="auto"/>
            </w:tcBorders>
          </w:tcPr>
          <w:p w14:paraId="64143A57" w14:textId="6AE51993" w:rsidR="002A6018" w:rsidRPr="006D2A16" w:rsidRDefault="00A85F8B" w:rsidP="00D73131">
            <w:pPr>
              <w:pStyle w:val="BodyText"/>
              <w:rPr>
                <w:rFonts w:ascii="Arial" w:hAnsi="Arial" w:cs="Arial"/>
                <w:sz w:val="20"/>
                <w:szCs w:val="20"/>
                <w:lang w:val="fr-CA"/>
              </w:rPr>
            </w:pPr>
            <w:r w:rsidRPr="006D2A16">
              <w:rPr>
                <w:rFonts w:ascii="Arial" w:hAnsi="Arial" w:cs="Arial"/>
                <w:sz w:val="20"/>
                <w:szCs w:val="20"/>
                <w:lang w:val="fr-CA"/>
              </w:rPr>
              <w:t>Nous avons ajouté la définition d’« agence de notation désignée » aux Règles des courtiers membres et au Formulaire</w:t>
            </w:r>
            <w:r w:rsidR="00EE1F35" w:rsidRPr="006D2A16">
              <w:rPr>
                <w:rFonts w:ascii="Arial" w:hAnsi="Arial" w:cs="Arial"/>
                <w:sz w:val="20"/>
                <w:szCs w:val="20"/>
                <w:lang w:val="fr-CA"/>
              </w:rPr>
              <w:t> </w:t>
            </w:r>
            <w:r w:rsidRPr="006D2A16">
              <w:rPr>
                <w:rFonts w:ascii="Arial" w:hAnsi="Arial" w:cs="Arial"/>
                <w:sz w:val="20"/>
                <w:szCs w:val="20"/>
                <w:lang w:val="fr-CA"/>
              </w:rPr>
              <w:t>1 dans le cadre du projet de modification du critère relatif à la concentration des titres de créance (Avis</w:t>
            </w:r>
            <w:r w:rsidR="00EE1F35" w:rsidRPr="006D2A16">
              <w:rPr>
                <w:rFonts w:ascii="Arial" w:hAnsi="Arial" w:cs="Arial"/>
                <w:sz w:val="20"/>
                <w:szCs w:val="20"/>
                <w:lang w:val="fr-CA"/>
              </w:rPr>
              <w:t> </w:t>
            </w:r>
            <w:r w:rsidR="00EA3392" w:rsidRPr="006D2A16">
              <w:rPr>
                <w:rFonts w:ascii="Arial" w:hAnsi="Arial" w:cs="Arial"/>
                <w:sz w:val="20"/>
                <w:szCs w:val="20"/>
                <w:lang w:val="fr-CA"/>
              </w:rPr>
              <w:t>18</w:t>
            </w:r>
            <w:r w:rsidR="00EA3392" w:rsidRPr="006D2A16">
              <w:rPr>
                <w:rFonts w:ascii="Arial" w:hAnsi="Arial" w:cs="Arial"/>
                <w:sz w:val="20"/>
                <w:szCs w:val="20"/>
                <w:lang w:val="fr-CA"/>
              </w:rPr>
              <w:noBreakHyphen/>
            </w:r>
            <w:r w:rsidRPr="006D2A16">
              <w:rPr>
                <w:rFonts w:ascii="Arial" w:hAnsi="Arial" w:cs="Arial"/>
                <w:sz w:val="20"/>
                <w:szCs w:val="20"/>
                <w:lang w:val="fr-CA"/>
              </w:rPr>
              <w:t xml:space="preserve">0153). Ces modifications seront intégrées au </w:t>
            </w:r>
            <w:r w:rsidR="009C3297" w:rsidRPr="006D2A16">
              <w:rPr>
                <w:rFonts w:ascii="Arial" w:hAnsi="Arial" w:cs="Arial"/>
                <w:sz w:val="20"/>
                <w:szCs w:val="20"/>
                <w:lang w:val="fr-CA"/>
              </w:rPr>
              <w:t xml:space="preserve">Manuel de réglementation </w:t>
            </w:r>
            <w:r w:rsidR="00EB1205" w:rsidRPr="006D2A16">
              <w:rPr>
                <w:rFonts w:ascii="Arial" w:hAnsi="Arial" w:cs="Arial"/>
                <w:sz w:val="20"/>
                <w:szCs w:val="20"/>
                <w:lang w:val="fr-CA"/>
              </w:rPr>
              <w:t>RLS</w:t>
            </w:r>
            <w:r w:rsidR="009C3297" w:rsidRPr="006D2A16">
              <w:rPr>
                <w:rFonts w:ascii="Arial" w:hAnsi="Arial" w:cs="Arial"/>
                <w:sz w:val="20"/>
                <w:szCs w:val="20"/>
                <w:lang w:val="fr-CA"/>
              </w:rPr>
              <w:t xml:space="preserve"> </w:t>
            </w:r>
            <w:r w:rsidRPr="006D2A16">
              <w:rPr>
                <w:rFonts w:ascii="Arial" w:hAnsi="Arial" w:cs="Arial"/>
                <w:sz w:val="20"/>
                <w:szCs w:val="20"/>
                <w:lang w:val="fr-CA"/>
              </w:rPr>
              <w:t>une fois que ce projet de modification aura été approuvé.</w:t>
            </w:r>
          </w:p>
          <w:p w14:paraId="5BD2AD41" w14:textId="454E3356" w:rsidR="00B02567" w:rsidRPr="006D2A16" w:rsidRDefault="00B02567" w:rsidP="00D73131">
            <w:pPr>
              <w:pStyle w:val="BodyText"/>
              <w:rPr>
                <w:rFonts w:ascii="Arial" w:hAnsi="Arial" w:cs="Arial"/>
                <w:sz w:val="20"/>
                <w:szCs w:val="20"/>
                <w:lang w:val="fr-CA"/>
              </w:rPr>
            </w:pPr>
          </w:p>
        </w:tc>
      </w:tr>
      <w:tr w:rsidR="002A6018" w:rsidRPr="006D2A16" w14:paraId="477C825E" w14:textId="77777777" w:rsidTr="006D2A16">
        <w:tc>
          <w:tcPr>
            <w:tcW w:w="5000" w:type="pct"/>
            <w:gridSpan w:val="3"/>
            <w:shd w:val="clear" w:color="auto" w:fill="FDE9D9" w:themeFill="accent6" w:themeFillTint="33"/>
          </w:tcPr>
          <w:p w14:paraId="0C0A59F2" w14:textId="77777777" w:rsidR="002A6018" w:rsidRDefault="00BA401B" w:rsidP="00D73131">
            <w:pPr>
              <w:pStyle w:val="BodyText"/>
              <w:rPr>
                <w:rFonts w:ascii="Arial" w:hAnsi="Arial" w:cs="Arial"/>
                <w:sz w:val="20"/>
                <w:szCs w:val="20"/>
                <w:lang w:val="fr-CA"/>
              </w:rPr>
            </w:pPr>
            <w:r w:rsidRPr="006D2A16">
              <w:rPr>
                <w:rFonts w:ascii="Arial" w:hAnsi="Arial" w:cs="Arial"/>
                <w:sz w:val="20"/>
                <w:szCs w:val="20"/>
                <w:u w:val="single"/>
                <w:lang w:val="fr-CA"/>
              </w:rPr>
              <w:t>Alinéa</w:t>
            </w:r>
            <w:r w:rsidR="00EE1F35" w:rsidRPr="006D2A16">
              <w:rPr>
                <w:rFonts w:ascii="Arial" w:hAnsi="Arial" w:cs="Arial"/>
                <w:sz w:val="20"/>
                <w:szCs w:val="20"/>
                <w:u w:val="single"/>
                <w:lang w:val="fr-CA"/>
              </w:rPr>
              <w:t> </w:t>
            </w:r>
            <w:r w:rsidRPr="006D2A16">
              <w:rPr>
                <w:rFonts w:ascii="Arial" w:hAnsi="Arial" w:cs="Arial"/>
                <w:sz w:val="20"/>
                <w:szCs w:val="20"/>
                <w:u w:val="single"/>
                <w:lang w:val="fr-CA"/>
              </w:rPr>
              <w:t>5130(2)(xix)</w:t>
            </w:r>
            <w:r w:rsidR="00A85F8B" w:rsidRPr="006D2A16">
              <w:rPr>
                <w:rFonts w:ascii="Arial" w:hAnsi="Arial" w:cs="Arial"/>
                <w:sz w:val="20"/>
                <w:szCs w:val="20"/>
                <w:lang w:val="fr-CA"/>
              </w:rPr>
              <w:t xml:space="preserve"> – Marges obligatoires – Application et définitions – Définitions</w:t>
            </w:r>
          </w:p>
          <w:p w14:paraId="5014C2A8" w14:textId="7BF89F76" w:rsidR="00CF6C89" w:rsidRPr="006D2A16" w:rsidRDefault="00CF6C89" w:rsidP="00D73131">
            <w:pPr>
              <w:pStyle w:val="BodyText"/>
              <w:rPr>
                <w:rFonts w:ascii="Arial" w:hAnsi="Arial" w:cs="Arial"/>
                <w:sz w:val="20"/>
                <w:szCs w:val="20"/>
                <w:lang w:val="fr-CA"/>
              </w:rPr>
            </w:pPr>
          </w:p>
        </w:tc>
      </w:tr>
      <w:tr w:rsidR="00B450D6" w:rsidRPr="006D2A16" w14:paraId="58D24D32" w14:textId="77777777" w:rsidTr="006D2A16">
        <w:trPr>
          <w:gridAfter w:val="1"/>
          <w:wAfter w:w="3" w:type="pct"/>
        </w:trPr>
        <w:tc>
          <w:tcPr>
            <w:tcW w:w="3293" w:type="pct"/>
          </w:tcPr>
          <w:p w14:paraId="6E0D3C02" w14:textId="4C36CCC5" w:rsidR="00B450D6" w:rsidRPr="006D2A16" w:rsidRDefault="00A85F8B" w:rsidP="00BA401B">
            <w:pPr>
              <w:pStyle w:val="BodyText"/>
              <w:ind w:right="599"/>
              <w:rPr>
                <w:rFonts w:ascii="Arial" w:hAnsi="Arial" w:cs="Arial"/>
                <w:sz w:val="20"/>
                <w:szCs w:val="20"/>
                <w:lang w:val="fr-CA"/>
              </w:rPr>
            </w:pPr>
            <w:r w:rsidRPr="006D2A16">
              <w:rPr>
                <w:rFonts w:ascii="Arial" w:hAnsi="Arial" w:cs="Arial"/>
                <w:sz w:val="20"/>
                <w:szCs w:val="20"/>
                <w:lang w:val="fr-CA"/>
              </w:rPr>
              <w:t>Un intervenant demande de préciser si la définition de « titres de créance du Canada » qui figure à l’alinéa</w:t>
            </w:r>
            <w:r w:rsidR="00EE1F35" w:rsidRPr="006D2A16">
              <w:rPr>
                <w:rFonts w:ascii="Arial" w:hAnsi="Arial" w:cs="Arial"/>
                <w:sz w:val="20"/>
                <w:szCs w:val="20"/>
                <w:lang w:val="fr-CA"/>
              </w:rPr>
              <w:t> </w:t>
            </w:r>
            <w:r w:rsidRPr="006D2A16">
              <w:rPr>
                <w:rFonts w:ascii="Arial" w:hAnsi="Arial" w:cs="Arial"/>
                <w:sz w:val="20"/>
                <w:szCs w:val="20"/>
                <w:lang w:val="fr-CA"/>
              </w:rPr>
              <w:t>5130(2)(xix) englobe les obligations à rendement réel. Si oui, on peut alors supposer que le bulletin C-99 ne s’appliquera plus et que les obligations à rendement réel pourront servir comme tout autre « titre de créance du Canada » à compenser des titres de créance. Par exemple, les obligations à rendement réel pourraient être utilisées pour opérer compensation en vertu des articles</w:t>
            </w:r>
            <w:r w:rsidR="00EE1F35" w:rsidRPr="006D2A16">
              <w:rPr>
                <w:rFonts w:ascii="Arial" w:hAnsi="Arial" w:cs="Arial"/>
                <w:sz w:val="20"/>
                <w:szCs w:val="20"/>
                <w:lang w:val="fr-CA"/>
              </w:rPr>
              <w:t> </w:t>
            </w:r>
            <w:r w:rsidRPr="006D2A16">
              <w:rPr>
                <w:rFonts w:ascii="Arial" w:hAnsi="Arial" w:cs="Arial"/>
                <w:sz w:val="20"/>
                <w:szCs w:val="20"/>
                <w:lang w:val="fr-CA"/>
              </w:rPr>
              <w:t>5611, 5612 et 5613 et des alinéas</w:t>
            </w:r>
            <w:r w:rsidR="00EE1F35" w:rsidRPr="006D2A16">
              <w:rPr>
                <w:rFonts w:ascii="Arial" w:hAnsi="Arial" w:cs="Arial"/>
                <w:sz w:val="20"/>
                <w:szCs w:val="20"/>
                <w:lang w:val="fr-CA"/>
              </w:rPr>
              <w:t> </w:t>
            </w:r>
            <w:r w:rsidRPr="006D2A16">
              <w:rPr>
                <w:rFonts w:ascii="Arial" w:hAnsi="Arial" w:cs="Arial"/>
                <w:sz w:val="20"/>
                <w:szCs w:val="20"/>
                <w:lang w:val="fr-CA"/>
              </w:rPr>
              <w:t>5613(1)(i), 5614(1)(ii), 5614(3)(i) et 5614(3)(iii), conformément au paragraphe</w:t>
            </w:r>
            <w:r w:rsidR="00EE1F35" w:rsidRPr="006D2A16">
              <w:rPr>
                <w:rFonts w:ascii="Arial" w:hAnsi="Arial" w:cs="Arial"/>
                <w:sz w:val="20"/>
                <w:szCs w:val="20"/>
                <w:lang w:val="fr-CA"/>
              </w:rPr>
              <w:t> </w:t>
            </w:r>
            <w:r w:rsidRPr="006D2A16">
              <w:rPr>
                <w:rFonts w:ascii="Arial" w:hAnsi="Arial" w:cs="Arial"/>
                <w:sz w:val="20"/>
                <w:szCs w:val="20"/>
                <w:lang w:val="fr-CA"/>
              </w:rPr>
              <w:t>5610(1) (compensation de marges).</w:t>
            </w:r>
          </w:p>
        </w:tc>
        <w:tc>
          <w:tcPr>
            <w:tcW w:w="1704" w:type="pct"/>
            <w:tcBorders>
              <w:bottom w:val="single" w:sz="4" w:space="0" w:color="auto"/>
            </w:tcBorders>
          </w:tcPr>
          <w:p w14:paraId="0D0B0C0F" w14:textId="3AD1A06B" w:rsidR="00A85F8B" w:rsidRPr="006D2A16" w:rsidRDefault="00A85F8B" w:rsidP="00D73131">
            <w:pPr>
              <w:pStyle w:val="BodyText"/>
              <w:rPr>
                <w:rFonts w:ascii="Arial" w:hAnsi="Arial" w:cs="Arial"/>
                <w:sz w:val="20"/>
                <w:szCs w:val="20"/>
                <w:lang w:val="fr-CA"/>
              </w:rPr>
            </w:pPr>
            <w:r w:rsidRPr="006D2A16">
              <w:rPr>
                <w:rFonts w:ascii="Arial" w:hAnsi="Arial" w:cs="Arial"/>
                <w:sz w:val="20"/>
                <w:szCs w:val="20"/>
                <w:lang w:val="fr-CA"/>
              </w:rPr>
              <w:t>La définition de « titres de créance du Canada » qui figure à l’alinéa</w:t>
            </w:r>
            <w:r w:rsidR="00EE1F35" w:rsidRPr="006D2A16">
              <w:rPr>
                <w:rFonts w:ascii="Arial" w:hAnsi="Arial" w:cs="Arial"/>
                <w:sz w:val="20"/>
                <w:szCs w:val="20"/>
                <w:lang w:val="fr-CA"/>
              </w:rPr>
              <w:t> </w:t>
            </w:r>
            <w:r w:rsidRPr="006D2A16">
              <w:rPr>
                <w:rFonts w:ascii="Arial" w:hAnsi="Arial" w:cs="Arial"/>
                <w:sz w:val="20"/>
                <w:szCs w:val="20"/>
                <w:lang w:val="fr-CA"/>
              </w:rPr>
              <w:t>5130(2)(xix) englobe les obligations à rendement réel du gouvernement du Canada.</w:t>
            </w:r>
          </w:p>
          <w:p w14:paraId="008E71B9" w14:textId="77777777" w:rsidR="00A85F8B" w:rsidRPr="006D2A16" w:rsidRDefault="00A85F8B" w:rsidP="00D73131">
            <w:pPr>
              <w:pStyle w:val="BodyText"/>
              <w:rPr>
                <w:rFonts w:ascii="Arial" w:hAnsi="Arial" w:cs="Arial"/>
                <w:sz w:val="20"/>
                <w:szCs w:val="20"/>
                <w:lang w:val="fr-CA"/>
              </w:rPr>
            </w:pPr>
          </w:p>
          <w:p w14:paraId="29DDB8CE" w14:textId="77777777" w:rsidR="00A85F8B" w:rsidRPr="006D2A16" w:rsidRDefault="00A85F8B" w:rsidP="00D73131">
            <w:pPr>
              <w:pStyle w:val="BodyText"/>
              <w:rPr>
                <w:rFonts w:ascii="Arial" w:hAnsi="Arial" w:cs="Arial"/>
                <w:sz w:val="20"/>
                <w:szCs w:val="20"/>
                <w:lang w:val="fr-CA"/>
              </w:rPr>
            </w:pPr>
            <w:r w:rsidRPr="006D2A16">
              <w:rPr>
                <w:rFonts w:ascii="Arial" w:hAnsi="Arial" w:cs="Arial"/>
                <w:sz w:val="20"/>
                <w:szCs w:val="20"/>
                <w:lang w:val="fr-CA"/>
              </w:rPr>
              <w:t>Cependant, en ce qui concerne les compensations de marges visant des obligations à rendement réel du gouvernement du Canada et des obligations du gouvernement du Canada « classiques », elles doivent respecter les exigences de couverture énoncées dans le bulletin d’interprétation C-99 (Obligations à rendement réel – Gouvernement du Canada) en raison des risques uniques inhérents à ces compensations de marges.</w:t>
            </w:r>
          </w:p>
          <w:p w14:paraId="63440821" w14:textId="6E8971C0" w:rsidR="00B450D6" w:rsidRPr="006D2A16" w:rsidRDefault="00B450D6" w:rsidP="00D73131">
            <w:pPr>
              <w:pStyle w:val="BodyText"/>
              <w:rPr>
                <w:rFonts w:ascii="Arial" w:hAnsi="Arial" w:cs="Arial"/>
                <w:sz w:val="20"/>
                <w:szCs w:val="20"/>
                <w:lang w:val="fr-CA"/>
              </w:rPr>
            </w:pPr>
          </w:p>
          <w:p w14:paraId="0CC41124" w14:textId="657C0E78" w:rsidR="00B02567" w:rsidRPr="006D2A16" w:rsidRDefault="00B02567" w:rsidP="00D73131">
            <w:pPr>
              <w:pStyle w:val="BodyText"/>
              <w:rPr>
                <w:rFonts w:ascii="Arial" w:hAnsi="Arial" w:cs="Arial"/>
                <w:sz w:val="20"/>
                <w:szCs w:val="20"/>
                <w:lang w:val="fr-CA"/>
              </w:rPr>
            </w:pPr>
          </w:p>
        </w:tc>
      </w:tr>
      <w:tr w:rsidR="002A6018" w:rsidRPr="006D2A16" w14:paraId="32118C44" w14:textId="77777777" w:rsidTr="006D2A16">
        <w:tc>
          <w:tcPr>
            <w:tcW w:w="5000" w:type="pct"/>
            <w:gridSpan w:val="3"/>
            <w:shd w:val="clear" w:color="auto" w:fill="FDE9D9" w:themeFill="accent6" w:themeFillTint="33"/>
          </w:tcPr>
          <w:p w14:paraId="6F731624" w14:textId="77777777" w:rsidR="002A6018" w:rsidRDefault="00BA401B" w:rsidP="00D73131">
            <w:pPr>
              <w:pStyle w:val="BodyText"/>
              <w:rPr>
                <w:rFonts w:ascii="Arial" w:hAnsi="Arial" w:cs="Arial"/>
                <w:sz w:val="20"/>
                <w:szCs w:val="20"/>
                <w:lang w:val="fr-CA"/>
              </w:rPr>
            </w:pPr>
            <w:r w:rsidRPr="006D2A16">
              <w:rPr>
                <w:rFonts w:ascii="Arial" w:hAnsi="Arial" w:cs="Arial"/>
                <w:sz w:val="20"/>
                <w:szCs w:val="20"/>
                <w:u w:val="single"/>
                <w:lang w:val="fr-CA"/>
              </w:rPr>
              <w:t>Article</w:t>
            </w:r>
            <w:r w:rsidR="00EE1F35" w:rsidRPr="006D2A16">
              <w:rPr>
                <w:rFonts w:ascii="Arial" w:hAnsi="Arial" w:cs="Arial"/>
                <w:sz w:val="20"/>
                <w:szCs w:val="20"/>
                <w:u w:val="single"/>
                <w:lang w:val="fr-CA"/>
              </w:rPr>
              <w:t> </w:t>
            </w:r>
            <w:r w:rsidRPr="006D2A16">
              <w:rPr>
                <w:rFonts w:ascii="Arial" w:hAnsi="Arial" w:cs="Arial"/>
                <w:sz w:val="20"/>
                <w:szCs w:val="20"/>
                <w:u w:val="single"/>
                <w:lang w:val="fr-CA"/>
              </w:rPr>
              <w:t>5222</w:t>
            </w:r>
            <w:r w:rsidR="00A85F8B" w:rsidRPr="006D2A16">
              <w:rPr>
                <w:rFonts w:ascii="Arial" w:hAnsi="Arial" w:cs="Arial"/>
                <w:sz w:val="20"/>
                <w:szCs w:val="20"/>
                <w:lang w:val="fr-CA"/>
              </w:rPr>
              <w:t xml:space="preserve"> – Titres de créance de sociétés – Effets bancaires (en règle)</w:t>
            </w:r>
          </w:p>
          <w:p w14:paraId="7D6BF7E2" w14:textId="5B0BD18E" w:rsidR="00CF6C89" w:rsidRPr="006D2A16" w:rsidRDefault="00CF6C89" w:rsidP="00D73131">
            <w:pPr>
              <w:pStyle w:val="BodyText"/>
              <w:rPr>
                <w:rFonts w:ascii="Arial" w:hAnsi="Arial" w:cs="Arial"/>
                <w:sz w:val="20"/>
                <w:szCs w:val="20"/>
                <w:lang w:val="fr-CA"/>
              </w:rPr>
            </w:pPr>
          </w:p>
        </w:tc>
      </w:tr>
      <w:tr w:rsidR="00B450D6" w:rsidRPr="006D2A16" w14:paraId="1FBC5A42" w14:textId="77777777" w:rsidTr="006D2A16">
        <w:trPr>
          <w:gridAfter w:val="1"/>
          <w:wAfter w:w="3" w:type="pct"/>
        </w:trPr>
        <w:tc>
          <w:tcPr>
            <w:tcW w:w="3293" w:type="pct"/>
          </w:tcPr>
          <w:p w14:paraId="3A4DC69F" w14:textId="77777777" w:rsidR="002A6018" w:rsidRPr="006D2A16" w:rsidRDefault="002A6018" w:rsidP="00D73131">
            <w:pPr>
              <w:pStyle w:val="BodyText"/>
              <w:ind w:right="599"/>
              <w:rPr>
                <w:rFonts w:ascii="Arial" w:hAnsi="Arial" w:cs="Arial"/>
                <w:sz w:val="20"/>
                <w:szCs w:val="20"/>
                <w:lang w:val="fr-CA"/>
              </w:rPr>
            </w:pPr>
          </w:p>
          <w:p w14:paraId="4D059C92" w14:textId="0545FBCF" w:rsidR="00B450D6" w:rsidRPr="006D2A16" w:rsidRDefault="00A85F8B" w:rsidP="00BA401B">
            <w:pPr>
              <w:pStyle w:val="BodyText"/>
              <w:ind w:right="599"/>
              <w:rPr>
                <w:rFonts w:ascii="Arial" w:hAnsi="Arial" w:cs="Arial"/>
                <w:sz w:val="20"/>
                <w:szCs w:val="20"/>
                <w:lang w:val="fr-CA"/>
              </w:rPr>
            </w:pPr>
            <w:r w:rsidRPr="006D2A16">
              <w:rPr>
                <w:rFonts w:ascii="Arial" w:hAnsi="Arial" w:cs="Arial"/>
                <w:sz w:val="20"/>
                <w:szCs w:val="20"/>
                <w:lang w:val="fr-CA"/>
              </w:rPr>
              <w:t>Un intervenant recommande que les institutions financières (telles que la Caisse populaire Desjardins et Credit Central Union) qui émettent des effets bancaires (certificats de dépôt, billets et débentures) figurent aussi dans le tableau de l’article</w:t>
            </w:r>
            <w:r w:rsidR="00EE1F35" w:rsidRPr="006D2A16">
              <w:rPr>
                <w:rFonts w:ascii="Arial" w:hAnsi="Arial" w:cs="Arial"/>
                <w:sz w:val="20"/>
                <w:szCs w:val="20"/>
                <w:lang w:val="fr-CA"/>
              </w:rPr>
              <w:t> </w:t>
            </w:r>
            <w:r w:rsidRPr="006D2A16">
              <w:rPr>
                <w:rFonts w:ascii="Arial" w:hAnsi="Arial" w:cs="Arial"/>
                <w:sz w:val="20"/>
                <w:szCs w:val="20"/>
                <w:lang w:val="fr-CA"/>
              </w:rPr>
              <w:t>5222 et suggère de remplacer, dans le titre de l’article, « Effets bancaires » par « Effets émis par des institutions financières agréé</w:t>
            </w:r>
            <w:r w:rsidR="00EE1F35" w:rsidRPr="006D2A16">
              <w:rPr>
                <w:rFonts w:ascii="Arial" w:hAnsi="Arial" w:cs="Arial"/>
                <w:sz w:val="20"/>
                <w:szCs w:val="20"/>
                <w:lang w:val="fr-CA"/>
              </w:rPr>
              <w:t>e</w:t>
            </w:r>
            <w:r w:rsidRPr="006D2A16">
              <w:rPr>
                <w:rFonts w:ascii="Arial" w:hAnsi="Arial" w:cs="Arial"/>
                <w:sz w:val="20"/>
                <w:szCs w:val="20"/>
                <w:lang w:val="fr-CA"/>
              </w:rPr>
              <w:t>s ».</w:t>
            </w:r>
          </w:p>
        </w:tc>
        <w:tc>
          <w:tcPr>
            <w:tcW w:w="1704" w:type="pct"/>
            <w:tcBorders>
              <w:bottom w:val="single" w:sz="4" w:space="0" w:color="auto"/>
            </w:tcBorders>
          </w:tcPr>
          <w:p w14:paraId="2D71C8DA" w14:textId="77777777" w:rsidR="002A6018" w:rsidRPr="006D2A16" w:rsidRDefault="002A6018" w:rsidP="00D73131">
            <w:pPr>
              <w:pStyle w:val="BodyText"/>
              <w:rPr>
                <w:rFonts w:ascii="Arial" w:hAnsi="Arial" w:cs="Arial"/>
                <w:sz w:val="20"/>
                <w:szCs w:val="20"/>
                <w:lang w:val="fr-CA"/>
              </w:rPr>
            </w:pPr>
          </w:p>
          <w:p w14:paraId="6B54653A" w14:textId="46D1C0AA" w:rsidR="00B450D6" w:rsidRPr="006D2A16" w:rsidRDefault="00A85F8B" w:rsidP="00D73131">
            <w:pPr>
              <w:pStyle w:val="BodyText"/>
              <w:rPr>
                <w:rFonts w:ascii="Arial" w:hAnsi="Arial" w:cs="Arial"/>
                <w:sz w:val="20"/>
                <w:szCs w:val="20"/>
                <w:lang w:val="fr-CA"/>
              </w:rPr>
            </w:pPr>
            <w:r w:rsidRPr="006D2A16">
              <w:rPr>
                <w:rFonts w:ascii="Arial" w:hAnsi="Arial" w:cs="Arial"/>
                <w:sz w:val="20"/>
                <w:szCs w:val="20"/>
                <w:lang w:val="fr-CA"/>
              </w:rPr>
              <w:t>Nous étudierons cette demande dans le cadre d’un projet distinct.</w:t>
            </w:r>
          </w:p>
        </w:tc>
      </w:tr>
      <w:tr w:rsidR="002A6018" w:rsidRPr="006D2A16" w14:paraId="65C740B0" w14:textId="77777777" w:rsidTr="006D2A16">
        <w:tc>
          <w:tcPr>
            <w:tcW w:w="5000" w:type="pct"/>
            <w:gridSpan w:val="3"/>
            <w:shd w:val="clear" w:color="auto" w:fill="FDE9D9" w:themeFill="accent6" w:themeFillTint="33"/>
          </w:tcPr>
          <w:p w14:paraId="5683D2AE" w14:textId="47407A99" w:rsidR="00A85F8B" w:rsidRPr="006D2A16" w:rsidRDefault="00BA401B" w:rsidP="00D73131">
            <w:pPr>
              <w:pStyle w:val="BodyText"/>
              <w:rPr>
                <w:rFonts w:ascii="Arial" w:hAnsi="Arial" w:cs="Arial"/>
                <w:sz w:val="20"/>
                <w:szCs w:val="20"/>
                <w:u w:val="single"/>
                <w:lang w:val="fr-CA"/>
              </w:rPr>
            </w:pPr>
            <w:r w:rsidRPr="006D2A16">
              <w:rPr>
                <w:rFonts w:ascii="Arial" w:hAnsi="Arial" w:cs="Arial"/>
                <w:sz w:val="20"/>
                <w:szCs w:val="20"/>
                <w:u w:val="single"/>
                <w:lang w:val="fr-CA"/>
              </w:rPr>
              <w:t>Paragraphe</w:t>
            </w:r>
            <w:r w:rsidR="00EE1F35" w:rsidRPr="006D2A16">
              <w:rPr>
                <w:rFonts w:ascii="Arial" w:hAnsi="Arial" w:cs="Arial"/>
                <w:sz w:val="20"/>
                <w:szCs w:val="20"/>
                <w:u w:val="single"/>
                <w:lang w:val="fr-CA"/>
              </w:rPr>
              <w:t> </w:t>
            </w:r>
            <w:r w:rsidRPr="006D2A16">
              <w:rPr>
                <w:rFonts w:ascii="Arial" w:hAnsi="Arial" w:cs="Arial"/>
                <w:sz w:val="20"/>
                <w:szCs w:val="20"/>
                <w:u w:val="single"/>
                <w:lang w:val="fr-CA"/>
              </w:rPr>
              <w:t>5614(2)</w:t>
            </w:r>
            <w:r w:rsidR="00A85F8B" w:rsidRPr="006D2A16">
              <w:rPr>
                <w:rFonts w:ascii="Arial" w:hAnsi="Arial" w:cs="Arial"/>
                <w:sz w:val="20"/>
                <w:szCs w:val="20"/>
                <w:lang w:val="fr-CA"/>
              </w:rPr>
              <w:t xml:space="preserve"> – Marges obligatoires dans le cas de stratégies de compensation visant des titres de créance, des titres de capitaux propres et des instruments connexes – Titres de créance de gouvernements – émetteurs différents, même catégorie d’échéance</w:t>
            </w:r>
          </w:p>
          <w:p w14:paraId="4E019930" w14:textId="70E9EA41" w:rsidR="00A85F8B" w:rsidRPr="006D2A16" w:rsidRDefault="00A85F8B" w:rsidP="00D73131">
            <w:pPr>
              <w:pStyle w:val="BodyText"/>
              <w:rPr>
                <w:rFonts w:ascii="Arial" w:hAnsi="Arial" w:cs="Arial"/>
                <w:sz w:val="20"/>
                <w:szCs w:val="20"/>
                <w:u w:val="single"/>
                <w:lang w:val="fr-CA"/>
              </w:rPr>
            </w:pPr>
            <w:r w:rsidRPr="006D2A16">
              <w:rPr>
                <w:rFonts w:ascii="Arial" w:hAnsi="Arial" w:cs="Arial"/>
                <w:sz w:val="20"/>
                <w:szCs w:val="20"/>
                <w:u w:val="single"/>
                <w:lang w:val="fr-CA"/>
              </w:rPr>
              <w:t>Paragraphe</w:t>
            </w:r>
            <w:r w:rsidR="00EE1F35" w:rsidRPr="006D2A16">
              <w:rPr>
                <w:rFonts w:ascii="Arial" w:hAnsi="Arial" w:cs="Arial"/>
                <w:sz w:val="20"/>
                <w:szCs w:val="20"/>
                <w:u w:val="single"/>
                <w:lang w:val="fr-CA"/>
              </w:rPr>
              <w:t> </w:t>
            </w:r>
            <w:r w:rsidR="00BA401B" w:rsidRPr="006D2A16">
              <w:rPr>
                <w:rFonts w:ascii="Arial" w:hAnsi="Arial" w:cs="Arial"/>
                <w:sz w:val="20"/>
                <w:szCs w:val="20"/>
                <w:u w:val="single"/>
                <w:lang w:val="fr-CA"/>
              </w:rPr>
              <w:t>5618(2)</w:t>
            </w:r>
            <w:r w:rsidRPr="006D2A16">
              <w:rPr>
                <w:rFonts w:ascii="Arial" w:hAnsi="Arial" w:cs="Arial"/>
                <w:sz w:val="20"/>
                <w:szCs w:val="20"/>
                <w:lang w:val="fr-CA"/>
              </w:rPr>
              <w:t xml:space="preserve"> – Marges obligatoires dans le cas de stratégies de compensation visant des titres de créance, des titres de capitaux propres et des instruments connexes – Autres compensations entre titres de créance de gouvernements et contrats à terme sur obligations notionnelles du gouvernement du Canada</w:t>
            </w:r>
          </w:p>
          <w:p w14:paraId="0B30AF71" w14:textId="3065D74E" w:rsidR="002A6018" w:rsidRPr="006D2A16" w:rsidRDefault="002A6018" w:rsidP="00D73131">
            <w:pPr>
              <w:pStyle w:val="BodyText"/>
              <w:rPr>
                <w:rFonts w:ascii="Arial" w:hAnsi="Arial" w:cs="Arial"/>
                <w:sz w:val="20"/>
                <w:szCs w:val="20"/>
                <w:lang w:val="fr-CA"/>
              </w:rPr>
            </w:pPr>
          </w:p>
        </w:tc>
      </w:tr>
      <w:tr w:rsidR="002A6018" w:rsidRPr="006D2A16" w14:paraId="13797D4D" w14:textId="77777777" w:rsidTr="006D2A16">
        <w:trPr>
          <w:gridAfter w:val="1"/>
          <w:wAfter w:w="3" w:type="pct"/>
        </w:trPr>
        <w:tc>
          <w:tcPr>
            <w:tcW w:w="3293" w:type="pct"/>
          </w:tcPr>
          <w:p w14:paraId="54C478AB" w14:textId="4A864412" w:rsidR="002A6018" w:rsidRPr="006D2A16" w:rsidRDefault="00734D6D" w:rsidP="00D73131">
            <w:pPr>
              <w:pStyle w:val="BodyText"/>
              <w:ind w:right="127"/>
              <w:rPr>
                <w:rFonts w:ascii="Arial" w:hAnsi="Arial" w:cs="Arial"/>
                <w:sz w:val="20"/>
                <w:szCs w:val="20"/>
                <w:lang w:val="fr-CA"/>
              </w:rPr>
            </w:pPr>
            <w:r w:rsidRPr="006D2A16">
              <w:rPr>
                <w:rFonts w:ascii="Arial" w:hAnsi="Arial" w:cs="Arial"/>
                <w:sz w:val="20"/>
                <w:szCs w:val="20"/>
                <w:lang w:val="fr-CA"/>
              </w:rPr>
              <w:t>En ce qui concerne les titres de créance de municipalités, certains intervenants jugent qu’il serait plus indiqué de mentionner la note d’émetteur à long terme et recommandent de remplacer la définition par « titres de créance d’une municipalité canadienne à laquelle une agence de notation désignée attribue la note d’émetteur à long terme “A” ou une note plus élevée ».</w:t>
            </w:r>
          </w:p>
          <w:p w14:paraId="79D89115" w14:textId="77777777" w:rsidR="002A6018" w:rsidRPr="006D2A16" w:rsidRDefault="002A6018" w:rsidP="00D73131">
            <w:pPr>
              <w:pStyle w:val="BodyText"/>
              <w:ind w:right="599"/>
              <w:rPr>
                <w:rFonts w:ascii="Arial" w:hAnsi="Arial" w:cs="Arial"/>
                <w:sz w:val="20"/>
                <w:szCs w:val="20"/>
                <w:lang w:val="fr-CA"/>
              </w:rPr>
            </w:pPr>
          </w:p>
        </w:tc>
        <w:tc>
          <w:tcPr>
            <w:tcW w:w="1704" w:type="pct"/>
            <w:tcBorders>
              <w:bottom w:val="single" w:sz="4" w:space="0" w:color="auto"/>
            </w:tcBorders>
          </w:tcPr>
          <w:p w14:paraId="4B8CA930" w14:textId="0BC2448E" w:rsidR="002A6018" w:rsidRPr="006D2A16" w:rsidRDefault="00734D6D" w:rsidP="00D73131">
            <w:pPr>
              <w:pStyle w:val="BodyText"/>
              <w:ind w:right="285"/>
              <w:rPr>
                <w:rFonts w:ascii="Arial" w:hAnsi="Arial" w:cs="Arial"/>
                <w:sz w:val="20"/>
                <w:szCs w:val="20"/>
                <w:lang w:val="fr-CA"/>
              </w:rPr>
            </w:pPr>
            <w:r w:rsidRPr="006D2A16">
              <w:rPr>
                <w:rFonts w:ascii="Arial" w:hAnsi="Arial" w:cs="Arial"/>
                <w:sz w:val="20"/>
                <w:szCs w:val="20"/>
                <w:lang w:val="fr-CA"/>
              </w:rPr>
              <w:t>Nous convenons que la note doit s’appliquer à l’émetteur plutôt qu’au titre de créance d’une municipalité canadienne. Nous avons publié un projet de modification de ces dispositio</w:t>
            </w:r>
            <w:r w:rsidR="00BA401B" w:rsidRPr="006D2A16">
              <w:rPr>
                <w:rFonts w:ascii="Arial" w:hAnsi="Arial" w:cs="Arial"/>
                <w:sz w:val="20"/>
                <w:szCs w:val="20"/>
                <w:lang w:val="fr-CA"/>
              </w:rPr>
              <w:t>ns dans l’annexe D de l’Avis</w:t>
            </w:r>
            <w:r w:rsidR="00EE1F35" w:rsidRPr="006D2A16">
              <w:rPr>
                <w:rFonts w:ascii="Arial" w:hAnsi="Arial" w:cs="Arial"/>
                <w:sz w:val="20"/>
                <w:szCs w:val="20"/>
                <w:lang w:val="fr-CA"/>
              </w:rPr>
              <w:t> </w:t>
            </w:r>
            <w:r w:rsidR="00BA401B" w:rsidRPr="006D2A16">
              <w:rPr>
                <w:rFonts w:ascii="Arial" w:hAnsi="Arial" w:cs="Arial"/>
                <w:sz w:val="20"/>
                <w:szCs w:val="20"/>
                <w:lang w:val="fr-CA"/>
              </w:rPr>
              <w:t>18</w:t>
            </w:r>
            <w:r w:rsidR="00BA401B" w:rsidRPr="006D2A16">
              <w:rPr>
                <w:rFonts w:ascii="Arial" w:hAnsi="Arial" w:cs="Arial"/>
                <w:sz w:val="20"/>
                <w:szCs w:val="20"/>
                <w:lang w:val="fr-CA"/>
              </w:rPr>
              <w:noBreakHyphen/>
            </w:r>
            <w:r w:rsidRPr="006D2A16">
              <w:rPr>
                <w:rFonts w:ascii="Arial" w:hAnsi="Arial" w:cs="Arial"/>
                <w:sz w:val="20"/>
                <w:szCs w:val="20"/>
                <w:lang w:val="fr-CA"/>
              </w:rPr>
              <w:t xml:space="preserve">0153. Ces modifications seront intégrées au </w:t>
            </w:r>
            <w:r w:rsidR="009C3297" w:rsidRPr="006D2A16">
              <w:rPr>
                <w:rFonts w:ascii="Arial" w:hAnsi="Arial" w:cs="Arial"/>
                <w:sz w:val="20"/>
                <w:szCs w:val="20"/>
                <w:lang w:val="fr-CA"/>
              </w:rPr>
              <w:t xml:space="preserve">Manuel de réglementation </w:t>
            </w:r>
            <w:r w:rsidR="00EB1205" w:rsidRPr="006D2A16">
              <w:rPr>
                <w:rFonts w:ascii="Arial" w:hAnsi="Arial" w:cs="Arial"/>
                <w:sz w:val="20"/>
                <w:szCs w:val="20"/>
                <w:lang w:val="fr-CA"/>
              </w:rPr>
              <w:t>RLS</w:t>
            </w:r>
            <w:r w:rsidRPr="006D2A16">
              <w:rPr>
                <w:rFonts w:ascii="Arial" w:hAnsi="Arial" w:cs="Arial"/>
                <w:sz w:val="20"/>
                <w:szCs w:val="20"/>
                <w:lang w:val="fr-CA"/>
              </w:rPr>
              <w:t xml:space="preserve"> une fois que ce projet de modification aura été approuvé.</w:t>
            </w:r>
          </w:p>
          <w:p w14:paraId="0442D888" w14:textId="77777777" w:rsidR="002A6018" w:rsidRPr="006D2A16" w:rsidRDefault="002A6018" w:rsidP="00D73131">
            <w:pPr>
              <w:pStyle w:val="BodyText"/>
              <w:rPr>
                <w:rFonts w:ascii="Arial" w:hAnsi="Arial" w:cs="Arial"/>
                <w:sz w:val="20"/>
                <w:szCs w:val="20"/>
                <w:lang w:val="fr-CA"/>
              </w:rPr>
            </w:pPr>
          </w:p>
        </w:tc>
      </w:tr>
    </w:tbl>
    <w:p w14:paraId="16C15BAA" w14:textId="77777777" w:rsidR="00FF6EC0" w:rsidRPr="006D2A16" w:rsidRDefault="00FF6EC0">
      <w:pPr>
        <w:rPr>
          <w:rFonts w:ascii="Arial" w:hAnsi="Arial" w:cs="Arial"/>
          <w:sz w:val="20"/>
          <w:szCs w:val="20"/>
          <w:lang w:val="fr-CA"/>
        </w:rPr>
      </w:pPr>
    </w:p>
    <w:p w14:paraId="130279BB" w14:textId="6FAADA97" w:rsidR="00F37308" w:rsidRPr="006D2A16" w:rsidRDefault="00D266C3" w:rsidP="00F37308">
      <w:pPr>
        <w:spacing w:before="12" w:line="278" w:lineRule="auto"/>
        <w:ind w:left="10820" w:right="-2" w:firstLine="700"/>
        <w:rPr>
          <w:rFonts w:ascii="Arial" w:hAnsi="Arial" w:cs="Arial"/>
          <w:b/>
          <w:sz w:val="20"/>
          <w:lang w:val="fr-CA"/>
        </w:rPr>
      </w:pPr>
      <w:r w:rsidRPr="006D2A16">
        <w:rPr>
          <w:rFonts w:ascii="Arial" w:hAnsi="Arial" w:cs="Arial"/>
          <w:sz w:val="20"/>
          <w:szCs w:val="20"/>
          <w:lang w:val="fr-CA"/>
        </w:rPr>
        <w:br w:type="page"/>
      </w:r>
      <w:r w:rsidR="00F37308" w:rsidRPr="006D2A16">
        <w:rPr>
          <w:rFonts w:ascii="Arial" w:hAnsi="Arial" w:cs="Arial"/>
          <w:b/>
          <w:sz w:val="20"/>
          <w:lang w:val="fr-CA"/>
        </w:rPr>
        <w:lastRenderedPageBreak/>
        <w:t>A</w:t>
      </w:r>
      <w:r w:rsidR="00734D6D" w:rsidRPr="006D2A16">
        <w:rPr>
          <w:rFonts w:ascii="Arial" w:hAnsi="Arial" w:cs="Arial"/>
          <w:b/>
          <w:sz w:val="20"/>
          <w:lang w:val="fr-CA"/>
        </w:rPr>
        <w:t>nnexe</w:t>
      </w:r>
      <w:r w:rsidR="00F37308" w:rsidRPr="006D2A16">
        <w:rPr>
          <w:rFonts w:ascii="Arial" w:hAnsi="Arial" w:cs="Arial"/>
          <w:b/>
          <w:sz w:val="20"/>
          <w:lang w:val="fr-CA"/>
        </w:rPr>
        <w:t xml:space="preserve"> A </w:t>
      </w:r>
    </w:p>
    <w:p w14:paraId="6104A7F7" w14:textId="066FD464" w:rsidR="00F37308" w:rsidRPr="006D2A16" w:rsidRDefault="005B41D0" w:rsidP="00F37308">
      <w:pPr>
        <w:spacing w:before="12" w:line="278" w:lineRule="auto"/>
        <w:ind w:left="20" w:right="-2"/>
        <w:rPr>
          <w:rFonts w:ascii="Arial" w:hAnsi="Arial" w:cs="Arial"/>
          <w:b/>
          <w:sz w:val="20"/>
          <w:szCs w:val="20"/>
          <w:lang w:val="fr-CA"/>
        </w:rPr>
      </w:pPr>
      <w:r w:rsidRPr="006D2A16">
        <w:rPr>
          <w:rFonts w:ascii="Arial" w:hAnsi="Arial" w:cs="Arial"/>
          <w:b/>
          <w:sz w:val="20"/>
          <w:szCs w:val="20"/>
          <w:lang w:val="fr-CA"/>
        </w:rPr>
        <w:t>Commentaires reçus en réponse à l’Avis sur les règles</w:t>
      </w:r>
      <w:r w:rsidR="00EE1F35" w:rsidRPr="006D2A16">
        <w:rPr>
          <w:rFonts w:ascii="Arial" w:hAnsi="Arial" w:cs="Arial"/>
          <w:b/>
          <w:sz w:val="20"/>
          <w:szCs w:val="20"/>
          <w:lang w:val="fr-CA"/>
        </w:rPr>
        <w:t> </w:t>
      </w:r>
      <w:r w:rsidRPr="006D2A16">
        <w:rPr>
          <w:rFonts w:ascii="Arial" w:hAnsi="Arial" w:cs="Arial"/>
          <w:b/>
          <w:sz w:val="20"/>
          <w:szCs w:val="20"/>
          <w:lang w:val="fr-CA"/>
        </w:rPr>
        <w:t>17-0054 – Avis sur les règles – Appel à commentaires – Règles des courtiers membres – Nouvelle publication du projet de Manuel de réglementation en langage simple des courtiers membres de l’OCRCVM</w:t>
      </w:r>
    </w:p>
    <w:p w14:paraId="0AAC8EF1" w14:textId="77777777" w:rsidR="00F37308" w:rsidRPr="006D2A16" w:rsidRDefault="00F37308" w:rsidP="00F37308">
      <w:pPr>
        <w:rPr>
          <w:rFonts w:ascii="Arial" w:hAnsi="Arial" w:cs="Arial"/>
          <w:sz w:val="20"/>
          <w:szCs w:val="20"/>
          <w:lang w:val="fr-CA"/>
        </w:rPr>
      </w:pPr>
    </w:p>
    <w:p w14:paraId="18F46FB9" w14:textId="27950017" w:rsidR="00F37308" w:rsidRPr="006D2A16" w:rsidRDefault="005B41D0" w:rsidP="00F37308">
      <w:pPr>
        <w:rPr>
          <w:rFonts w:ascii="Arial" w:hAnsi="Arial" w:cs="Arial"/>
          <w:sz w:val="20"/>
          <w:szCs w:val="20"/>
          <w:lang w:val="fr-CA"/>
        </w:rPr>
      </w:pPr>
      <w:r w:rsidRPr="006D2A16">
        <w:rPr>
          <w:rFonts w:ascii="Arial" w:hAnsi="Arial" w:cs="Arial"/>
          <w:sz w:val="20"/>
          <w:szCs w:val="20"/>
          <w:lang w:val="fr-CA"/>
        </w:rPr>
        <w:t xml:space="preserve">Le 9 mars 2017, </w:t>
      </w:r>
      <w:r w:rsidR="00EA3392" w:rsidRPr="006D2A16">
        <w:rPr>
          <w:rFonts w:ascii="Arial" w:hAnsi="Arial" w:cs="Arial"/>
          <w:sz w:val="20"/>
          <w:szCs w:val="20"/>
          <w:lang w:val="fr-CA"/>
        </w:rPr>
        <w:t>l’OCRCVM a publié l’Avis 17-0054 sollicitant des commentaires sur le projet de Manuel de réglementation en langage simple des courtiers membres de l’OCRCVM</w:t>
      </w:r>
      <w:r w:rsidRPr="006D2A16">
        <w:rPr>
          <w:rFonts w:ascii="Arial" w:hAnsi="Arial" w:cs="Arial"/>
          <w:sz w:val="20"/>
          <w:szCs w:val="20"/>
          <w:lang w:val="fr-CA"/>
        </w:rPr>
        <w:t xml:space="preserve"> </w:t>
      </w:r>
      <w:r w:rsidR="00F37308" w:rsidRPr="006D2A16">
        <w:rPr>
          <w:rFonts w:ascii="Arial" w:hAnsi="Arial" w:cs="Arial"/>
          <w:sz w:val="20"/>
          <w:szCs w:val="20"/>
          <w:lang w:val="fr-CA"/>
        </w:rPr>
        <w:t>(</w:t>
      </w:r>
      <w:r w:rsidRPr="006D2A16">
        <w:rPr>
          <w:rFonts w:ascii="Arial" w:hAnsi="Arial" w:cs="Arial"/>
          <w:sz w:val="20"/>
          <w:szCs w:val="20"/>
          <w:lang w:val="fr-CA"/>
        </w:rPr>
        <w:t xml:space="preserve">la </w:t>
      </w:r>
      <w:r w:rsidRPr="006D2A16">
        <w:rPr>
          <w:rFonts w:ascii="Arial" w:hAnsi="Arial" w:cs="Arial"/>
          <w:b/>
          <w:sz w:val="20"/>
          <w:szCs w:val="20"/>
          <w:lang w:val="fr-CA"/>
        </w:rPr>
        <w:t>publication de mars 2017</w:t>
      </w:r>
      <w:r w:rsidR="00F37308" w:rsidRPr="006D2A16">
        <w:rPr>
          <w:rFonts w:ascii="Arial" w:hAnsi="Arial" w:cs="Arial"/>
          <w:sz w:val="20"/>
          <w:szCs w:val="20"/>
          <w:lang w:val="fr-CA"/>
        </w:rPr>
        <w:t xml:space="preserve">). </w:t>
      </w:r>
      <w:r w:rsidRPr="006D2A16">
        <w:rPr>
          <w:rFonts w:ascii="Arial" w:hAnsi="Arial" w:cs="Arial"/>
          <w:sz w:val="20"/>
          <w:szCs w:val="20"/>
          <w:lang w:val="fr-CA"/>
        </w:rPr>
        <w:t>L’OCRCVM a répondu aux commentaires reçus sur la publication de mars 2017 dans l’Avis</w:t>
      </w:r>
      <w:r w:rsidR="00EE1F35" w:rsidRPr="006D2A16">
        <w:rPr>
          <w:rFonts w:ascii="Arial" w:hAnsi="Arial" w:cs="Arial"/>
          <w:sz w:val="20"/>
          <w:szCs w:val="20"/>
          <w:lang w:val="fr-CA"/>
        </w:rPr>
        <w:t> </w:t>
      </w:r>
      <w:r w:rsidRPr="006D2A16">
        <w:rPr>
          <w:rFonts w:ascii="Arial" w:hAnsi="Arial" w:cs="Arial"/>
          <w:sz w:val="20"/>
          <w:szCs w:val="20"/>
          <w:lang w:val="fr-CA"/>
        </w:rPr>
        <w:t>18</w:t>
      </w:r>
      <w:r w:rsidRPr="006D2A16">
        <w:rPr>
          <w:rFonts w:ascii="Arial" w:hAnsi="Arial" w:cs="Arial"/>
          <w:sz w:val="20"/>
          <w:szCs w:val="20"/>
          <w:lang w:val="fr-CA"/>
        </w:rPr>
        <w:noBreakHyphen/>
        <w:t xml:space="preserve">0014. </w:t>
      </w:r>
      <w:r w:rsidR="00271CD1">
        <w:rPr>
          <w:rFonts w:ascii="Arial" w:hAnsi="Arial" w:cs="Arial"/>
          <w:sz w:val="20"/>
          <w:szCs w:val="20"/>
          <w:lang w:val="fr-CA"/>
        </w:rPr>
        <w:t>Nous souhaitons m</w:t>
      </w:r>
      <w:r w:rsidR="00EA3392" w:rsidRPr="006D2A16">
        <w:rPr>
          <w:rFonts w:ascii="Arial" w:hAnsi="Arial" w:cs="Arial"/>
          <w:sz w:val="20"/>
          <w:szCs w:val="20"/>
          <w:lang w:val="fr-CA"/>
        </w:rPr>
        <w:t>aintenant corriger</w:t>
      </w:r>
      <w:r w:rsidR="00DB0EE1" w:rsidRPr="006D2A16">
        <w:rPr>
          <w:rFonts w:ascii="Arial" w:hAnsi="Arial" w:cs="Arial"/>
          <w:sz w:val="20"/>
          <w:szCs w:val="20"/>
          <w:lang w:val="fr-CA"/>
        </w:rPr>
        <w:t xml:space="preserve"> notre réponse à l’un des commentaires de la manière suivante :</w:t>
      </w:r>
    </w:p>
    <w:tbl>
      <w:tblPr>
        <w:tblStyle w:val="TableGrid"/>
        <w:tblW w:w="13176" w:type="dxa"/>
        <w:tblLayout w:type="fixed"/>
        <w:tblLook w:val="04A0" w:firstRow="1" w:lastRow="0" w:firstColumn="1" w:lastColumn="0" w:noHBand="0" w:noVBand="1"/>
      </w:tblPr>
      <w:tblGrid>
        <w:gridCol w:w="8838"/>
        <w:gridCol w:w="4338"/>
      </w:tblGrid>
      <w:tr w:rsidR="00F37308" w:rsidRPr="006D2A16" w14:paraId="00CA0E56" w14:textId="77777777" w:rsidTr="00A829D3">
        <w:tc>
          <w:tcPr>
            <w:tcW w:w="8838" w:type="dxa"/>
            <w:shd w:val="clear" w:color="auto" w:fill="FABF8F" w:themeFill="accent6" w:themeFillTint="99"/>
          </w:tcPr>
          <w:p w14:paraId="746EBA36" w14:textId="4C7A75CB" w:rsidR="00F37308" w:rsidRPr="00D266C3" w:rsidRDefault="00734D6D" w:rsidP="00734D6D">
            <w:pPr>
              <w:spacing w:before="120" w:after="120"/>
              <w:jc w:val="center"/>
              <w:rPr>
                <w:rFonts w:ascii="Arial" w:hAnsi="Arial" w:cs="Arial"/>
                <w:b/>
                <w:color w:val="FFFFFF" w:themeColor="background1"/>
                <w:sz w:val="20"/>
                <w:szCs w:val="20"/>
              </w:rPr>
            </w:pPr>
            <w:r>
              <w:rPr>
                <w:rFonts w:ascii="Arial" w:hAnsi="Arial" w:cs="Arial"/>
                <w:b/>
                <w:color w:val="FFFFFF" w:themeColor="background1"/>
                <w:sz w:val="20"/>
                <w:szCs w:val="20"/>
              </w:rPr>
              <w:t>Résumé des commentaires</w:t>
            </w:r>
          </w:p>
        </w:tc>
        <w:tc>
          <w:tcPr>
            <w:tcW w:w="4338" w:type="dxa"/>
            <w:shd w:val="clear" w:color="auto" w:fill="FABF8F" w:themeFill="accent6" w:themeFillTint="99"/>
          </w:tcPr>
          <w:p w14:paraId="56EA97B0" w14:textId="37ECA0FD" w:rsidR="00F37308" w:rsidRPr="006D2A16" w:rsidRDefault="00734D6D" w:rsidP="00A829D3">
            <w:pPr>
              <w:spacing w:before="120" w:after="120"/>
              <w:jc w:val="center"/>
              <w:rPr>
                <w:rFonts w:ascii="Arial" w:hAnsi="Arial" w:cs="Arial"/>
                <w:b/>
                <w:color w:val="FFFFFF" w:themeColor="background1"/>
                <w:sz w:val="20"/>
                <w:szCs w:val="20"/>
                <w:lang w:val="fr-CA"/>
              </w:rPr>
            </w:pPr>
            <w:r w:rsidRPr="006D2A16">
              <w:rPr>
                <w:rFonts w:ascii="Arial" w:hAnsi="Arial" w:cs="Arial"/>
                <w:b/>
                <w:color w:val="FFFFFF" w:themeColor="background1"/>
                <w:sz w:val="20"/>
                <w:szCs w:val="20"/>
                <w:lang w:val="fr-CA"/>
              </w:rPr>
              <w:t>Réponses et commentaires additionnels de l’OCRCVM</w:t>
            </w:r>
          </w:p>
        </w:tc>
      </w:tr>
      <w:tr w:rsidR="00F37308" w:rsidRPr="00B6359C" w14:paraId="12BD3584" w14:textId="77777777" w:rsidTr="00A829D3">
        <w:trPr>
          <w:trHeight w:val="275"/>
        </w:trPr>
        <w:tc>
          <w:tcPr>
            <w:tcW w:w="8838" w:type="dxa"/>
            <w:shd w:val="clear" w:color="auto" w:fill="FBD4B4" w:themeFill="accent6" w:themeFillTint="66"/>
          </w:tcPr>
          <w:p w14:paraId="6294B316" w14:textId="52D6D712" w:rsidR="00F37308" w:rsidRPr="00D266C3" w:rsidRDefault="005B41D0" w:rsidP="00A829D3">
            <w:pPr>
              <w:spacing w:before="120" w:after="120"/>
              <w:rPr>
                <w:rFonts w:ascii="Arial" w:hAnsi="Arial" w:cs="Arial"/>
                <w:sz w:val="20"/>
                <w:szCs w:val="20"/>
              </w:rPr>
            </w:pPr>
            <w:r>
              <w:rPr>
                <w:rFonts w:ascii="Arial" w:hAnsi="Arial" w:cs="Arial"/>
                <w:sz w:val="20"/>
                <w:szCs w:val="20"/>
                <w:u w:val="single"/>
              </w:rPr>
              <w:t>Article</w:t>
            </w:r>
            <w:r w:rsidR="00EE1F35">
              <w:rPr>
                <w:rFonts w:ascii="Arial" w:hAnsi="Arial" w:cs="Arial"/>
                <w:sz w:val="20"/>
                <w:szCs w:val="20"/>
                <w:u w:val="single"/>
              </w:rPr>
              <w:t> </w:t>
            </w:r>
            <w:r>
              <w:rPr>
                <w:rFonts w:ascii="Arial" w:hAnsi="Arial" w:cs="Arial"/>
                <w:sz w:val="20"/>
                <w:szCs w:val="20"/>
                <w:u w:val="single"/>
              </w:rPr>
              <w:t>1404 – Politiques et procédures</w:t>
            </w:r>
          </w:p>
        </w:tc>
        <w:tc>
          <w:tcPr>
            <w:tcW w:w="4338" w:type="dxa"/>
            <w:shd w:val="clear" w:color="auto" w:fill="FBD4B4" w:themeFill="accent6" w:themeFillTint="66"/>
          </w:tcPr>
          <w:p w14:paraId="7DA73585" w14:textId="77777777" w:rsidR="00F37308" w:rsidRPr="00D266C3" w:rsidRDefault="00F37308" w:rsidP="00A829D3">
            <w:pPr>
              <w:spacing w:before="120" w:after="120"/>
              <w:rPr>
                <w:rFonts w:ascii="Arial" w:hAnsi="Arial" w:cs="Arial"/>
                <w:sz w:val="20"/>
                <w:szCs w:val="20"/>
              </w:rPr>
            </w:pPr>
          </w:p>
        </w:tc>
      </w:tr>
      <w:tr w:rsidR="00F37308" w:rsidRPr="006D2A16" w14:paraId="4B9BFABE" w14:textId="77777777" w:rsidTr="00A829D3">
        <w:trPr>
          <w:trHeight w:val="275"/>
        </w:trPr>
        <w:tc>
          <w:tcPr>
            <w:tcW w:w="8838" w:type="dxa"/>
            <w:vMerge w:val="restart"/>
            <w:shd w:val="clear" w:color="auto" w:fill="auto"/>
          </w:tcPr>
          <w:p w14:paraId="7FBAC8B7" w14:textId="168DFE13" w:rsidR="00F37308" w:rsidRPr="006D2A16" w:rsidRDefault="005B41D0" w:rsidP="00A829D3">
            <w:pPr>
              <w:spacing w:before="120" w:after="120"/>
              <w:rPr>
                <w:rFonts w:ascii="Arial" w:hAnsi="Arial" w:cs="Arial"/>
                <w:sz w:val="20"/>
                <w:szCs w:val="20"/>
                <w:lang w:val="fr-CA"/>
              </w:rPr>
            </w:pPr>
            <w:r w:rsidRPr="006D2A16">
              <w:rPr>
                <w:rFonts w:ascii="Arial" w:hAnsi="Arial" w:cs="Arial"/>
                <w:sz w:val="20"/>
                <w:szCs w:val="20"/>
                <w:lang w:val="fr-CA"/>
              </w:rPr>
              <w:t xml:space="preserve">Un intervenant fait remarquer que, selon cet article, les politiques </w:t>
            </w:r>
            <w:r w:rsidR="009C3297" w:rsidRPr="006D2A16">
              <w:rPr>
                <w:rFonts w:ascii="Arial" w:hAnsi="Arial" w:cs="Arial"/>
                <w:sz w:val="20"/>
                <w:szCs w:val="20"/>
                <w:lang w:val="fr-CA"/>
              </w:rPr>
              <w:t>et procédures « doivent suffire </w:t>
            </w:r>
            <w:r w:rsidRPr="006D2A16">
              <w:rPr>
                <w:rFonts w:ascii="Arial" w:hAnsi="Arial" w:cs="Arial"/>
                <w:sz w:val="20"/>
                <w:szCs w:val="20"/>
                <w:lang w:val="fr-CA"/>
              </w:rPr>
              <w:t>» à satisfaire aux exigences de l’OCRCVM; il croit plutôt que les politiques et procédures devraient être « conçues » pour satisfaire aux exigences de l’OCRCVM, comme le prévoit l’article</w:t>
            </w:r>
            <w:r w:rsidR="00EE1F35" w:rsidRPr="006D2A16">
              <w:rPr>
                <w:rFonts w:ascii="Arial" w:hAnsi="Arial" w:cs="Arial"/>
                <w:sz w:val="20"/>
                <w:szCs w:val="20"/>
                <w:lang w:val="fr-CA"/>
              </w:rPr>
              <w:t> </w:t>
            </w:r>
            <w:r w:rsidRPr="006D2A16">
              <w:rPr>
                <w:rFonts w:ascii="Arial" w:hAnsi="Arial" w:cs="Arial"/>
                <w:sz w:val="20"/>
                <w:szCs w:val="20"/>
                <w:lang w:val="fr-CA"/>
              </w:rPr>
              <w:t>3904, car il pourrait y avoir des cas de non-conformité.</w:t>
            </w:r>
            <w:r w:rsidR="00F37308" w:rsidRPr="006D2A16">
              <w:rPr>
                <w:rFonts w:ascii="Arial" w:hAnsi="Arial" w:cs="Arial"/>
                <w:sz w:val="20"/>
                <w:szCs w:val="20"/>
                <w:lang w:val="fr-CA"/>
              </w:rPr>
              <w:t xml:space="preserve"> </w:t>
            </w:r>
          </w:p>
        </w:tc>
        <w:tc>
          <w:tcPr>
            <w:tcW w:w="4338" w:type="dxa"/>
            <w:shd w:val="clear" w:color="auto" w:fill="auto"/>
          </w:tcPr>
          <w:p w14:paraId="3BB3046D" w14:textId="53594A2A" w:rsidR="00F37308" w:rsidRPr="006D2A16" w:rsidRDefault="00DB0EE1" w:rsidP="00A829D3">
            <w:pPr>
              <w:spacing w:before="120" w:after="120"/>
              <w:rPr>
                <w:rFonts w:ascii="Arial" w:hAnsi="Arial" w:cs="Arial"/>
                <w:sz w:val="20"/>
                <w:szCs w:val="20"/>
                <w:lang w:val="fr-CA"/>
              </w:rPr>
            </w:pPr>
            <w:r w:rsidRPr="006D2A16">
              <w:rPr>
                <w:rFonts w:ascii="Arial" w:hAnsi="Arial" w:cs="Arial"/>
                <w:b/>
                <w:sz w:val="20"/>
                <w:szCs w:val="20"/>
                <w:lang w:val="fr-CA"/>
              </w:rPr>
              <w:t>Réponse initiale </w:t>
            </w:r>
            <w:r w:rsidR="00F37308" w:rsidRPr="006D2A16">
              <w:rPr>
                <w:rFonts w:ascii="Arial" w:hAnsi="Arial" w:cs="Arial"/>
                <w:sz w:val="20"/>
                <w:szCs w:val="20"/>
                <w:lang w:val="fr-CA"/>
              </w:rPr>
              <w:t>:</w:t>
            </w:r>
          </w:p>
          <w:p w14:paraId="5DBD8B75" w14:textId="3B7A3989" w:rsidR="00F37308" w:rsidRPr="006D2A16" w:rsidRDefault="005B41D0" w:rsidP="00A829D3">
            <w:pPr>
              <w:spacing w:before="120" w:after="120"/>
              <w:rPr>
                <w:rFonts w:ascii="Arial" w:hAnsi="Arial" w:cs="Arial"/>
                <w:sz w:val="20"/>
                <w:szCs w:val="20"/>
                <w:lang w:val="fr-CA"/>
              </w:rPr>
            </w:pPr>
            <w:r w:rsidRPr="006D2A16">
              <w:rPr>
                <w:rFonts w:ascii="Arial" w:hAnsi="Arial" w:cs="Arial"/>
                <w:sz w:val="20"/>
                <w:szCs w:val="20"/>
                <w:lang w:val="fr-CA"/>
              </w:rPr>
              <w:t>Nous sommes d’accord avec le commentaire et avons remplacé les mots « suffire à satisfaire aux obligations » par « être conçues en vue de garantir la conformité avec les obligations ».</w:t>
            </w:r>
            <w:r w:rsidR="00F37308" w:rsidRPr="006D2A16">
              <w:rPr>
                <w:rFonts w:ascii="Arial" w:hAnsi="Arial" w:cs="Arial"/>
                <w:sz w:val="20"/>
                <w:szCs w:val="20"/>
                <w:lang w:val="fr-CA"/>
              </w:rPr>
              <w:t xml:space="preserve"> </w:t>
            </w:r>
          </w:p>
        </w:tc>
      </w:tr>
      <w:tr w:rsidR="00F37308" w:rsidRPr="006D2A16" w14:paraId="703EE1A1" w14:textId="77777777" w:rsidTr="00A829D3">
        <w:trPr>
          <w:trHeight w:val="275"/>
        </w:trPr>
        <w:tc>
          <w:tcPr>
            <w:tcW w:w="8838" w:type="dxa"/>
            <w:vMerge/>
            <w:shd w:val="clear" w:color="auto" w:fill="auto"/>
          </w:tcPr>
          <w:p w14:paraId="39EF32CD" w14:textId="77777777" w:rsidR="00F37308" w:rsidRPr="006D2A16" w:rsidRDefault="00F37308" w:rsidP="00A829D3">
            <w:pPr>
              <w:spacing w:before="120" w:after="120"/>
              <w:rPr>
                <w:rFonts w:ascii="Arial" w:hAnsi="Arial" w:cs="Arial"/>
                <w:sz w:val="20"/>
                <w:szCs w:val="20"/>
                <w:lang w:val="fr-CA"/>
              </w:rPr>
            </w:pPr>
          </w:p>
        </w:tc>
        <w:tc>
          <w:tcPr>
            <w:tcW w:w="4338" w:type="dxa"/>
            <w:shd w:val="clear" w:color="auto" w:fill="auto"/>
          </w:tcPr>
          <w:p w14:paraId="287CABE7" w14:textId="617D0988" w:rsidR="00F37308" w:rsidRPr="006D2A16" w:rsidRDefault="00DB0EE1" w:rsidP="00A829D3">
            <w:pPr>
              <w:spacing w:before="120" w:after="120"/>
              <w:rPr>
                <w:rFonts w:ascii="Arial" w:hAnsi="Arial" w:cs="Arial"/>
                <w:sz w:val="20"/>
                <w:szCs w:val="20"/>
                <w:lang w:val="fr-CA"/>
              </w:rPr>
            </w:pPr>
            <w:r w:rsidRPr="006D2A16">
              <w:rPr>
                <w:rFonts w:ascii="Arial" w:hAnsi="Arial" w:cs="Arial"/>
                <w:b/>
                <w:sz w:val="20"/>
                <w:szCs w:val="20"/>
                <w:lang w:val="fr-CA"/>
              </w:rPr>
              <w:t>Réponse corrigée </w:t>
            </w:r>
            <w:r w:rsidR="00F37308" w:rsidRPr="006D2A16">
              <w:rPr>
                <w:rFonts w:ascii="Arial" w:hAnsi="Arial" w:cs="Arial"/>
                <w:sz w:val="20"/>
                <w:szCs w:val="20"/>
                <w:lang w:val="fr-CA"/>
              </w:rPr>
              <w:t>:</w:t>
            </w:r>
          </w:p>
          <w:p w14:paraId="51DB970E" w14:textId="33E93971" w:rsidR="00F37308" w:rsidRPr="006D2A16" w:rsidRDefault="00DB0EE1" w:rsidP="00AF1118">
            <w:pPr>
              <w:spacing w:before="120" w:after="120"/>
              <w:rPr>
                <w:rFonts w:ascii="Arial" w:hAnsi="Arial" w:cs="Arial"/>
                <w:sz w:val="20"/>
                <w:szCs w:val="20"/>
                <w:lang w:val="fr-CA"/>
              </w:rPr>
            </w:pPr>
            <w:r w:rsidRPr="006D2A16">
              <w:rPr>
                <w:rFonts w:ascii="Arial" w:hAnsi="Arial" w:cs="Arial"/>
                <w:sz w:val="20"/>
                <w:szCs w:val="20"/>
                <w:lang w:val="fr-CA"/>
              </w:rPr>
              <w:t xml:space="preserve">Après un examen et </w:t>
            </w:r>
            <w:r w:rsidR="00EA3392" w:rsidRPr="006D2A16">
              <w:rPr>
                <w:rFonts w:ascii="Arial" w:hAnsi="Arial" w:cs="Arial"/>
                <w:sz w:val="20"/>
                <w:szCs w:val="20"/>
                <w:lang w:val="fr-CA"/>
              </w:rPr>
              <w:t>une consultation</w:t>
            </w:r>
            <w:r w:rsidRPr="006D2A16">
              <w:rPr>
                <w:rFonts w:ascii="Arial" w:hAnsi="Arial" w:cs="Arial"/>
                <w:sz w:val="20"/>
                <w:szCs w:val="20"/>
                <w:lang w:val="fr-CA"/>
              </w:rPr>
              <w:t xml:space="preserve"> plus poussés, nous avons décidé de modifier l’article 1404 par souci d’harmonisation plus étroite avec l’article</w:t>
            </w:r>
            <w:r w:rsidR="00EE1F35" w:rsidRPr="006D2A16">
              <w:rPr>
                <w:rFonts w:ascii="Arial" w:hAnsi="Arial" w:cs="Arial"/>
                <w:sz w:val="20"/>
                <w:szCs w:val="20"/>
                <w:lang w:val="fr-CA"/>
              </w:rPr>
              <w:t> </w:t>
            </w:r>
            <w:r w:rsidRPr="006D2A16">
              <w:rPr>
                <w:rFonts w:ascii="Arial" w:hAnsi="Arial" w:cs="Arial"/>
                <w:sz w:val="20"/>
                <w:szCs w:val="20"/>
                <w:lang w:val="fr-CA"/>
              </w:rPr>
              <w:t>11.1 du</w:t>
            </w:r>
            <w:r w:rsidR="009C3297" w:rsidRPr="006D2A16">
              <w:rPr>
                <w:rFonts w:ascii="Arial" w:hAnsi="Arial" w:cs="Arial"/>
                <w:sz w:val="20"/>
                <w:szCs w:val="20"/>
                <w:lang w:val="fr-CA"/>
              </w:rPr>
              <w:t xml:space="preserve"> Règlement</w:t>
            </w:r>
            <w:r w:rsidR="00EE1F35" w:rsidRPr="006D2A16">
              <w:rPr>
                <w:rFonts w:ascii="Arial" w:hAnsi="Arial" w:cs="Arial"/>
                <w:sz w:val="20"/>
                <w:szCs w:val="20"/>
                <w:lang w:val="fr-CA"/>
              </w:rPr>
              <w:t> </w:t>
            </w:r>
            <w:r w:rsidR="009C3297" w:rsidRPr="006D2A16">
              <w:rPr>
                <w:rFonts w:ascii="Arial" w:hAnsi="Arial" w:cs="Arial"/>
                <w:sz w:val="20"/>
                <w:szCs w:val="20"/>
                <w:lang w:val="fr-CA"/>
              </w:rPr>
              <w:t>31</w:t>
            </w:r>
            <w:r w:rsidR="009C3297" w:rsidRPr="006D2A16">
              <w:rPr>
                <w:rFonts w:ascii="Arial" w:hAnsi="Arial" w:cs="Arial"/>
                <w:sz w:val="20"/>
                <w:szCs w:val="20"/>
                <w:lang w:val="fr-CA"/>
              </w:rPr>
              <w:noBreakHyphen/>
            </w:r>
            <w:r w:rsidRPr="006D2A16">
              <w:rPr>
                <w:rFonts w:ascii="Arial" w:hAnsi="Arial" w:cs="Arial"/>
                <w:sz w:val="20"/>
                <w:szCs w:val="20"/>
                <w:lang w:val="fr-CA"/>
              </w:rPr>
              <w:t xml:space="preserve">103. Nous avons aussi modifié d’autres </w:t>
            </w:r>
            <w:r w:rsidR="00AF1118">
              <w:rPr>
                <w:rFonts w:ascii="Arial" w:hAnsi="Arial" w:cs="Arial"/>
                <w:sz w:val="20"/>
                <w:szCs w:val="20"/>
                <w:lang w:val="fr-CA"/>
              </w:rPr>
              <w:t>dispositions</w:t>
            </w:r>
            <w:r w:rsidRPr="006D2A16">
              <w:rPr>
                <w:rFonts w:ascii="Arial" w:hAnsi="Arial" w:cs="Arial"/>
                <w:sz w:val="20"/>
                <w:szCs w:val="20"/>
                <w:lang w:val="fr-CA"/>
              </w:rPr>
              <w:t xml:space="preserve"> relati</w:t>
            </w:r>
            <w:r w:rsidR="00AF1118">
              <w:rPr>
                <w:rFonts w:ascii="Arial" w:hAnsi="Arial" w:cs="Arial"/>
                <w:sz w:val="20"/>
                <w:szCs w:val="20"/>
                <w:lang w:val="fr-CA"/>
              </w:rPr>
              <w:t>ve</w:t>
            </w:r>
            <w:r w:rsidRPr="006D2A16">
              <w:rPr>
                <w:rFonts w:ascii="Arial" w:hAnsi="Arial" w:cs="Arial"/>
                <w:sz w:val="20"/>
                <w:szCs w:val="20"/>
                <w:lang w:val="fr-CA"/>
              </w:rPr>
              <w:t xml:space="preserve">s aux politiques et aux procédures pour assurer l’uniformité des libellés utilisés dans l’ensemble du Manuel de réglementation </w:t>
            </w:r>
            <w:r w:rsidR="00EB1205" w:rsidRPr="006D2A16">
              <w:rPr>
                <w:rFonts w:ascii="Arial" w:hAnsi="Arial" w:cs="Arial"/>
                <w:sz w:val="20"/>
                <w:szCs w:val="20"/>
                <w:lang w:val="fr-CA"/>
              </w:rPr>
              <w:t>RLS</w:t>
            </w:r>
            <w:r w:rsidRPr="006D2A16">
              <w:rPr>
                <w:rFonts w:ascii="Arial" w:hAnsi="Arial" w:cs="Arial"/>
                <w:sz w:val="20"/>
                <w:szCs w:val="20"/>
                <w:lang w:val="fr-CA"/>
              </w:rPr>
              <w:t xml:space="preserve">. </w:t>
            </w:r>
          </w:p>
        </w:tc>
      </w:tr>
    </w:tbl>
    <w:p w14:paraId="12E643BB" w14:textId="652CEFFD" w:rsidR="00D266C3" w:rsidRPr="006D2A16" w:rsidRDefault="00D266C3">
      <w:pPr>
        <w:rPr>
          <w:rFonts w:ascii="Arial" w:hAnsi="Arial" w:cs="Arial"/>
          <w:sz w:val="20"/>
          <w:szCs w:val="20"/>
          <w:lang w:val="fr-CA"/>
        </w:rPr>
      </w:pPr>
    </w:p>
    <w:sectPr w:rsidR="00D266C3" w:rsidRPr="006D2A16" w:rsidSect="00B02567">
      <w:headerReference w:type="default" r:id="rId12"/>
      <w:footerReference w:type="default" r:id="rId13"/>
      <w:pgSz w:w="15840" w:h="12240" w:orient="landscape"/>
      <w:pgMar w:top="1440" w:right="1440" w:bottom="126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FDE5E" w14:textId="77777777" w:rsidR="00D476FF" w:rsidRDefault="00D476FF" w:rsidP="00FF6EC0">
      <w:pPr>
        <w:spacing w:after="0" w:line="240" w:lineRule="auto"/>
      </w:pPr>
      <w:r>
        <w:separator/>
      </w:r>
    </w:p>
  </w:endnote>
  <w:endnote w:type="continuationSeparator" w:id="0">
    <w:p w14:paraId="374ABFAC" w14:textId="77777777" w:rsidR="00D476FF" w:rsidRDefault="00D476FF" w:rsidP="00FF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853623298"/>
      <w:docPartObj>
        <w:docPartGallery w:val="Page Numbers (Bottom of Page)"/>
        <w:docPartUnique/>
      </w:docPartObj>
    </w:sdtPr>
    <w:sdtEndPr>
      <w:rPr>
        <w:noProof/>
        <w:sz w:val="20"/>
      </w:rPr>
    </w:sdtEndPr>
    <w:sdtContent>
      <w:p w14:paraId="75843FD4" w14:textId="00688492" w:rsidR="002A6018" w:rsidRPr="00095059" w:rsidRDefault="002A6018">
        <w:pPr>
          <w:pStyle w:val="Footer"/>
          <w:jc w:val="right"/>
          <w:rPr>
            <w:i/>
            <w:sz w:val="20"/>
          </w:rPr>
        </w:pPr>
        <w:r w:rsidRPr="00095059">
          <w:rPr>
            <w:sz w:val="20"/>
          </w:rPr>
          <w:fldChar w:fldCharType="begin"/>
        </w:r>
        <w:r w:rsidRPr="00095059">
          <w:rPr>
            <w:sz w:val="20"/>
          </w:rPr>
          <w:instrText xml:space="preserve"> PAGE   \* MERGEFORMAT </w:instrText>
        </w:r>
        <w:r w:rsidRPr="00095059">
          <w:rPr>
            <w:sz w:val="20"/>
          </w:rPr>
          <w:fldChar w:fldCharType="separate"/>
        </w:r>
        <w:r w:rsidR="00F8407E">
          <w:rPr>
            <w:noProof/>
            <w:sz w:val="20"/>
          </w:rPr>
          <w:t>2</w:t>
        </w:r>
        <w:r w:rsidRPr="00095059">
          <w:rPr>
            <w:noProof/>
            <w:sz w:val="20"/>
          </w:rPr>
          <w:fldChar w:fldCharType="end"/>
        </w:r>
      </w:p>
    </w:sdtContent>
  </w:sdt>
  <w:p w14:paraId="2AF820C9" w14:textId="42938F08" w:rsidR="004E5CB6" w:rsidRPr="00095059" w:rsidRDefault="004E5CB6" w:rsidP="002A6018">
    <w:pPr>
      <w:pStyle w:val="Footer"/>
      <w:rPr>
        <w:rFonts w:cstheme="minorHAnsi"/>
        <w:b/>
        <w:i/>
        <w:sz w:val="20"/>
        <w:szCs w:val="18"/>
        <w:lang w:val="fr-CA"/>
      </w:rPr>
    </w:pPr>
    <w:r w:rsidRPr="00095059">
      <w:rPr>
        <w:rFonts w:cstheme="minorHAnsi"/>
        <w:b/>
        <w:i/>
        <w:sz w:val="20"/>
        <w:szCs w:val="18"/>
        <w:lang w:val="fr-CA"/>
      </w:rPr>
      <w:t xml:space="preserve">ANNEXE </w:t>
    </w:r>
    <w:r w:rsidR="00554A12" w:rsidRPr="00095059">
      <w:rPr>
        <w:rFonts w:cstheme="minorHAnsi"/>
        <w:b/>
        <w:i/>
        <w:sz w:val="20"/>
        <w:szCs w:val="18"/>
        <w:lang w:val="fr-CA"/>
      </w:rPr>
      <w:t>4</w:t>
    </w:r>
  </w:p>
  <w:p w14:paraId="727A6A68" w14:textId="02731B7D" w:rsidR="005046F7" w:rsidRPr="00095059" w:rsidRDefault="00F804F6" w:rsidP="002A6018">
    <w:pPr>
      <w:pStyle w:val="Footer"/>
      <w:rPr>
        <w:rFonts w:cstheme="minorHAnsi"/>
        <w:b/>
        <w:i/>
        <w:sz w:val="20"/>
        <w:szCs w:val="18"/>
        <w:lang w:val="fr-CA"/>
      </w:rPr>
    </w:pPr>
    <w:r w:rsidRPr="00095059">
      <w:rPr>
        <w:rFonts w:cstheme="minorHAnsi"/>
        <w:b/>
        <w:i/>
        <w:sz w:val="20"/>
        <w:szCs w:val="18"/>
        <w:lang w:val="fr-CA"/>
      </w:rPr>
      <w:t xml:space="preserve">Avis de l’OCRCVM </w:t>
    </w:r>
    <w:r w:rsidR="0017585A">
      <w:rPr>
        <w:rFonts w:cstheme="minorHAnsi"/>
        <w:b/>
        <w:i/>
        <w:sz w:val="20"/>
        <w:szCs w:val="18"/>
        <w:lang w:val="fr-CA"/>
      </w:rPr>
      <w:t>19-0144</w:t>
    </w:r>
    <w:r w:rsidR="004E5CB6" w:rsidRPr="00095059">
      <w:rPr>
        <w:rFonts w:cstheme="minorHAnsi"/>
        <w:b/>
        <w:i/>
        <w:sz w:val="20"/>
        <w:szCs w:val="18"/>
        <w:lang w:val="fr-CA"/>
      </w:rPr>
      <w:t xml:space="preserve"> – Avis sur les règles – </w:t>
    </w:r>
    <w:r w:rsidR="00EA3392" w:rsidRPr="00095059">
      <w:rPr>
        <w:rFonts w:cstheme="minorHAnsi"/>
        <w:b/>
        <w:i/>
        <w:sz w:val="20"/>
        <w:szCs w:val="18"/>
        <w:lang w:val="fr-CA"/>
      </w:rPr>
      <w:t>Avis d’approbation/de mise en œuvre</w:t>
    </w:r>
    <w:r w:rsidR="004E5CB6" w:rsidRPr="00095059">
      <w:rPr>
        <w:rFonts w:cstheme="minorHAnsi"/>
        <w:b/>
        <w:i/>
        <w:sz w:val="20"/>
        <w:szCs w:val="18"/>
        <w:lang w:val="fr-CA"/>
      </w:rPr>
      <w:t xml:space="preserve"> – </w:t>
    </w:r>
    <w:r w:rsidR="00EA3392" w:rsidRPr="00095059">
      <w:rPr>
        <w:rFonts w:cstheme="minorHAnsi"/>
        <w:b/>
        <w:i/>
        <w:sz w:val="20"/>
        <w:szCs w:val="18"/>
        <w:lang w:val="fr-CA"/>
      </w:rPr>
      <w:t>Mise en œuvre</w:t>
    </w:r>
    <w:r w:rsidR="004E5CB6" w:rsidRPr="00095059">
      <w:rPr>
        <w:rFonts w:cstheme="minorHAnsi"/>
        <w:b/>
        <w:i/>
        <w:sz w:val="20"/>
        <w:szCs w:val="18"/>
        <w:lang w:val="fr-CA"/>
      </w:rPr>
      <w:t xml:space="preserve"> du projet de Manuel de réglementation en langage simple des courtiers membres de l’OCRCVM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2A80D" w14:textId="77777777" w:rsidR="00D476FF" w:rsidRDefault="00D476FF" w:rsidP="00FF6EC0">
      <w:pPr>
        <w:spacing w:after="0" w:line="240" w:lineRule="auto"/>
      </w:pPr>
      <w:r>
        <w:separator/>
      </w:r>
    </w:p>
  </w:footnote>
  <w:footnote w:type="continuationSeparator" w:id="0">
    <w:p w14:paraId="7D41B5CF" w14:textId="77777777" w:rsidR="00D476FF" w:rsidRDefault="00D476FF" w:rsidP="00FF6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4F1FE" w14:textId="39BD75C9" w:rsidR="005046F7" w:rsidRDefault="005046F7">
    <w:pPr>
      <w:pStyle w:val="Header"/>
    </w:pPr>
    <w:r>
      <w:rPr>
        <w:noProof/>
      </w:rPr>
      <w:drawing>
        <wp:inline distT="0" distB="0" distL="0" distR="0" wp14:anchorId="42628323" wp14:editId="584D9A93">
          <wp:extent cx="2059388" cy="939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RO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8" cy="943786"/>
                  </a:xfrm>
                  <a:prstGeom prst="rect">
                    <a:avLst/>
                  </a:prstGeom>
                </pic:spPr>
              </pic:pic>
            </a:graphicData>
          </a:graphic>
        </wp:inline>
      </w:drawing>
    </w:r>
    <w:r w:rsidR="00B561D5">
      <w:rPr>
        <w:b/>
      </w:rPr>
      <w:t xml:space="preserve">                                                                                                                                                      </w:t>
    </w:r>
  </w:p>
  <w:p w14:paraId="7CE460B5" w14:textId="77777777" w:rsidR="005046F7" w:rsidRPr="00D73131" w:rsidRDefault="005046F7">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58D"/>
    <w:multiLevelType w:val="hybridMultilevel"/>
    <w:tmpl w:val="B6707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71CFF"/>
    <w:multiLevelType w:val="hybridMultilevel"/>
    <w:tmpl w:val="6C685912"/>
    <w:lvl w:ilvl="0" w:tplc="D9AE7A12">
      <w:start w:val="1"/>
      <w:numFmt w:val="decimal"/>
      <w:lvlText w:val="%1."/>
      <w:lvlJc w:val="left"/>
      <w:pPr>
        <w:ind w:left="640" w:hanging="540"/>
      </w:pPr>
      <w:rPr>
        <w:rFonts w:ascii="Times New Roman" w:eastAsia="Times New Roman" w:hAnsi="Times New Roman" w:cs="Times New Roman" w:hint="default"/>
        <w:spacing w:val="-8"/>
        <w:w w:val="99"/>
        <w:sz w:val="24"/>
        <w:szCs w:val="24"/>
      </w:rPr>
    </w:lvl>
    <w:lvl w:ilvl="1" w:tplc="81F88F24">
      <w:numFmt w:val="bullet"/>
      <w:lvlText w:val="•"/>
      <w:lvlJc w:val="left"/>
      <w:pPr>
        <w:ind w:left="1000" w:hanging="540"/>
      </w:pPr>
      <w:rPr>
        <w:rFonts w:hint="default"/>
      </w:rPr>
    </w:lvl>
    <w:lvl w:ilvl="2" w:tplc="FC0ACBF0">
      <w:numFmt w:val="bullet"/>
      <w:lvlText w:val="•"/>
      <w:lvlJc w:val="left"/>
      <w:pPr>
        <w:ind w:left="1928" w:hanging="540"/>
      </w:pPr>
      <w:rPr>
        <w:rFonts w:hint="default"/>
      </w:rPr>
    </w:lvl>
    <w:lvl w:ilvl="3" w:tplc="509CE9D0">
      <w:numFmt w:val="bullet"/>
      <w:lvlText w:val="•"/>
      <w:lvlJc w:val="left"/>
      <w:pPr>
        <w:ind w:left="2857" w:hanging="540"/>
      </w:pPr>
      <w:rPr>
        <w:rFonts w:hint="default"/>
      </w:rPr>
    </w:lvl>
    <w:lvl w:ilvl="4" w:tplc="5AF617FE">
      <w:numFmt w:val="bullet"/>
      <w:lvlText w:val="•"/>
      <w:lvlJc w:val="left"/>
      <w:pPr>
        <w:ind w:left="3786" w:hanging="540"/>
      </w:pPr>
      <w:rPr>
        <w:rFonts w:hint="default"/>
      </w:rPr>
    </w:lvl>
    <w:lvl w:ilvl="5" w:tplc="C90C9026">
      <w:numFmt w:val="bullet"/>
      <w:lvlText w:val="•"/>
      <w:lvlJc w:val="left"/>
      <w:pPr>
        <w:ind w:left="4715" w:hanging="540"/>
      </w:pPr>
      <w:rPr>
        <w:rFonts w:hint="default"/>
      </w:rPr>
    </w:lvl>
    <w:lvl w:ilvl="6" w:tplc="9C4ED2E4">
      <w:numFmt w:val="bullet"/>
      <w:lvlText w:val="•"/>
      <w:lvlJc w:val="left"/>
      <w:pPr>
        <w:ind w:left="5644" w:hanging="540"/>
      </w:pPr>
      <w:rPr>
        <w:rFonts w:hint="default"/>
      </w:rPr>
    </w:lvl>
    <w:lvl w:ilvl="7" w:tplc="1FB26134">
      <w:numFmt w:val="bullet"/>
      <w:lvlText w:val="•"/>
      <w:lvlJc w:val="left"/>
      <w:pPr>
        <w:ind w:left="6573" w:hanging="540"/>
      </w:pPr>
      <w:rPr>
        <w:rFonts w:hint="default"/>
      </w:rPr>
    </w:lvl>
    <w:lvl w:ilvl="8" w:tplc="5E94B0CA">
      <w:numFmt w:val="bullet"/>
      <w:lvlText w:val="•"/>
      <w:lvlJc w:val="left"/>
      <w:pPr>
        <w:ind w:left="7502" w:hanging="540"/>
      </w:pPr>
      <w:rPr>
        <w:rFonts w:hint="default"/>
      </w:rPr>
    </w:lvl>
  </w:abstractNum>
  <w:abstractNum w:abstractNumId="2" w15:restartNumberingAfterBreak="0">
    <w:nsid w:val="05247295"/>
    <w:multiLevelType w:val="hybridMultilevel"/>
    <w:tmpl w:val="E29E5F02"/>
    <w:lvl w:ilvl="0" w:tplc="E090B552">
      <w:start w:val="1"/>
      <w:numFmt w:val="decimal"/>
      <w:lvlText w:val="%1."/>
      <w:lvlJc w:val="left"/>
      <w:pPr>
        <w:ind w:left="706" w:hanging="567"/>
      </w:pPr>
      <w:rPr>
        <w:rFonts w:ascii="Times New Roman" w:eastAsia="Times New Roman" w:hAnsi="Times New Roman" w:cs="Times New Roman" w:hint="default"/>
        <w:spacing w:val="-5"/>
        <w:w w:val="99"/>
        <w:sz w:val="24"/>
        <w:szCs w:val="24"/>
      </w:rPr>
    </w:lvl>
    <w:lvl w:ilvl="1" w:tplc="9EDAAB3A">
      <w:start w:val="1"/>
      <w:numFmt w:val="lowerLetter"/>
      <w:lvlText w:val="%2."/>
      <w:lvlJc w:val="left"/>
      <w:pPr>
        <w:ind w:left="1180" w:hanging="360"/>
      </w:pPr>
      <w:rPr>
        <w:rFonts w:ascii="Times New Roman" w:eastAsia="Times New Roman" w:hAnsi="Times New Roman" w:cs="Times New Roman" w:hint="default"/>
        <w:spacing w:val="-5"/>
        <w:w w:val="99"/>
        <w:sz w:val="24"/>
        <w:szCs w:val="24"/>
      </w:rPr>
    </w:lvl>
    <w:lvl w:ilvl="2" w:tplc="6B5E8B8C">
      <w:start w:val="1"/>
      <w:numFmt w:val="lowerRoman"/>
      <w:lvlText w:val="%3."/>
      <w:lvlJc w:val="left"/>
      <w:pPr>
        <w:ind w:left="1540" w:hanging="308"/>
      </w:pPr>
      <w:rPr>
        <w:rFonts w:ascii="Times New Roman" w:eastAsia="Times New Roman" w:hAnsi="Times New Roman" w:cs="Times New Roman" w:hint="default"/>
        <w:spacing w:val="-5"/>
        <w:w w:val="99"/>
        <w:sz w:val="24"/>
        <w:szCs w:val="24"/>
      </w:rPr>
    </w:lvl>
    <w:lvl w:ilvl="3" w:tplc="F3687AA0">
      <w:numFmt w:val="bullet"/>
      <w:lvlText w:val="•"/>
      <w:lvlJc w:val="left"/>
      <w:pPr>
        <w:ind w:left="1280" w:hanging="308"/>
      </w:pPr>
      <w:rPr>
        <w:rFonts w:hint="default"/>
      </w:rPr>
    </w:lvl>
    <w:lvl w:ilvl="4" w:tplc="BCA48388">
      <w:numFmt w:val="bullet"/>
      <w:lvlText w:val="•"/>
      <w:lvlJc w:val="left"/>
      <w:pPr>
        <w:ind w:left="1300" w:hanging="308"/>
      </w:pPr>
      <w:rPr>
        <w:rFonts w:hint="default"/>
      </w:rPr>
    </w:lvl>
    <w:lvl w:ilvl="5" w:tplc="5E6E0CF8">
      <w:numFmt w:val="bullet"/>
      <w:lvlText w:val="•"/>
      <w:lvlJc w:val="left"/>
      <w:pPr>
        <w:ind w:left="1540" w:hanging="308"/>
      </w:pPr>
      <w:rPr>
        <w:rFonts w:hint="default"/>
      </w:rPr>
    </w:lvl>
    <w:lvl w:ilvl="6" w:tplc="EF645D56">
      <w:numFmt w:val="bullet"/>
      <w:lvlText w:val="•"/>
      <w:lvlJc w:val="left"/>
      <w:pPr>
        <w:ind w:left="1560" w:hanging="308"/>
      </w:pPr>
      <w:rPr>
        <w:rFonts w:hint="default"/>
      </w:rPr>
    </w:lvl>
    <w:lvl w:ilvl="7" w:tplc="03F2D0E2">
      <w:numFmt w:val="bullet"/>
      <w:lvlText w:val="•"/>
      <w:lvlJc w:val="left"/>
      <w:pPr>
        <w:ind w:left="1820" w:hanging="308"/>
      </w:pPr>
      <w:rPr>
        <w:rFonts w:hint="default"/>
      </w:rPr>
    </w:lvl>
    <w:lvl w:ilvl="8" w:tplc="245647B6">
      <w:numFmt w:val="bullet"/>
      <w:lvlText w:val="•"/>
      <w:lvlJc w:val="left"/>
      <w:pPr>
        <w:ind w:left="4280" w:hanging="308"/>
      </w:pPr>
      <w:rPr>
        <w:rFonts w:hint="default"/>
      </w:rPr>
    </w:lvl>
  </w:abstractNum>
  <w:abstractNum w:abstractNumId="3" w15:restartNumberingAfterBreak="0">
    <w:nsid w:val="0C6941BB"/>
    <w:multiLevelType w:val="hybridMultilevel"/>
    <w:tmpl w:val="F314E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9D351A"/>
    <w:multiLevelType w:val="hybridMultilevel"/>
    <w:tmpl w:val="F20E9BDC"/>
    <w:lvl w:ilvl="0" w:tplc="E090B552">
      <w:start w:val="1"/>
      <w:numFmt w:val="decimal"/>
      <w:lvlText w:val="%1."/>
      <w:lvlJc w:val="left"/>
      <w:pPr>
        <w:ind w:left="706" w:hanging="567"/>
      </w:pPr>
      <w:rPr>
        <w:rFonts w:ascii="Times New Roman" w:eastAsia="Times New Roman" w:hAnsi="Times New Roman" w:cs="Times New Roman" w:hint="default"/>
        <w:spacing w:val="-5"/>
        <w:w w:val="99"/>
        <w:sz w:val="24"/>
        <w:szCs w:val="24"/>
      </w:rPr>
    </w:lvl>
    <w:lvl w:ilvl="1" w:tplc="9EDAAB3A">
      <w:start w:val="1"/>
      <w:numFmt w:val="lowerLetter"/>
      <w:lvlText w:val="%2."/>
      <w:lvlJc w:val="left"/>
      <w:pPr>
        <w:ind w:left="1180" w:hanging="360"/>
      </w:pPr>
      <w:rPr>
        <w:rFonts w:ascii="Times New Roman" w:eastAsia="Times New Roman" w:hAnsi="Times New Roman" w:cs="Times New Roman" w:hint="default"/>
        <w:spacing w:val="-5"/>
        <w:w w:val="99"/>
        <w:sz w:val="24"/>
        <w:szCs w:val="24"/>
      </w:rPr>
    </w:lvl>
    <w:lvl w:ilvl="2" w:tplc="6B5E8B8C">
      <w:start w:val="1"/>
      <w:numFmt w:val="lowerRoman"/>
      <w:lvlText w:val="%3."/>
      <w:lvlJc w:val="left"/>
      <w:pPr>
        <w:ind w:left="1540" w:hanging="308"/>
      </w:pPr>
      <w:rPr>
        <w:rFonts w:ascii="Times New Roman" w:eastAsia="Times New Roman" w:hAnsi="Times New Roman" w:cs="Times New Roman" w:hint="default"/>
        <w:spacing w:val="-5"/>
        <w:w w:val="99"/>
        <w:sz w:val="24"/>
        <w:szCs w:val="24"/>
      </w:rPr>
    </w:lvl>
    <w:lvl w:ilvl="3" w:tplc="F3687AA0">
      <w:numFmt w:val="bullet"/>
      <w:lvlText w:val="•"/>
      <w:lvlJc w:val="left"/>
      <w:pPr>
        <w:ind w:left="1280" w:hanging="308"/>
      </w:pPr>
      <w:rPr>
        <w:rFonts w:hint="default"/>
      </w:rPr>
    </w:lvl>
    <w:lvl w:ilvl="4" w:tplc="BCA48388">
      <w:numFmt w:val="bullet"/>
      <w:lvlText w:val="•"/>
      <w:lvlJc w:val="left"/>
      <w:pPr>
        <w:ind w:left="1300" w:hanging="308"/>
      </w:pPr>
      <w:rPr>
        <w:rFonts w:hint="default"/>
      </w:rPr>
    </w:lvl>
    <w:lvl w:ilvl="5" w:tplc="5E6E0CF8">
      <w:numFmt w:val="bullet"/>
      <w:lvlText w:val="•"/>
      <w:lvlJc w:val="left"/>
      <w:pPr>
        <w:ind w:left="1540" w:hanging="308"/>
      </w:pPr>
      <w:rPr>
        <w:rFonts w:hint="default"/>
      </w:rPr>
    </w:lvl>
    <w:lvl w:ilvl="6" w:tplc="EF645D56">
      <w:numFmt w:val="bullet"/>
      <w:lvlText w:val="•"/>
      <w:lvlJc w:val="left"/>
      <w:pPr>
        <w:ind w:left="1560" w:hanging="308"/>
      </w:pPr>
      <w:rPr>
        <w:rFonts w:hint="default"/>
      </w:rPr>
    </w:lvl>
    <w:lvl w:ilvl="7" w:tplc="03F2D0E2">
      <w:numFmt w:val="bullet"/>
      <w:lvlText w:val="•"/>
      <w:lvlJc w:val="left"/>
      <w:pPr>
        <w:ind w:left="1820" w:hanging="308"/>
      </w:pPr>
      <w:rPr>
        <w:rFonts w:hint="default"/>
      </w:rPr>
    </w:lvl>
    <w:lvl w:ilvl="8" w:tplc="245647B6">
      <w:numFmt w:val="bullet"/>
      <w:lvlText w:val="•"/>
      <w:lvlJc w:val="left"/>
      <w:pPr>
        <w:ind w:left="4280" w:hanging="308"/>
      </w:pPr>
      <w:rPr>
        <w:rFonts w:hint="default"/>
      </w:rPr>
    </w:lvl>
  </w:abstractNum>
  <w:abstractNum w:abstractNumId="5" w15:restartNumberingAfterBreak="0">
    <w:nsid w:val="11993D17"/>
    <w:multiLevelType w:val="hybridMultilevel"/>
    <w:tmpl w:val="B55AD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434211"/>
    <w:multiLevelType w:val="hybridMultilevel"/>
    <w:tmpl w:val="9CF4D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65322"/>
    <w:multiLevelType w:val="hybridMultilevel"/>
    <w:tmpl w:val="3EE4FEB4"/>
    <w:lvl w:ilvl="0" w:tplc="D9AE7A12">
      <w:start w:val="1"/>
      <w:numFmt w:val="decimal"/>
      <w:lvlText w:val="%1."/>
      <w:lvlJc w:val="left"/>
      <w:pPr>
        <w:ind w:left="640" w:hanging="540"/>
      </w:pPr>
      <w:rPr>
        <w:rFonts w:ascii="Times New Roman" w:eastAsia="Times New Roman" w:hAnsi="Times New Roman" w:cs="Times New Roman" w:hint="default"/>
        <w:spacing w:val="-8"/>
        <w:w w:val="99"/>
        <w:sz w:val="24"/>
        <w:szCs w:val="24"/>
      </w:rPr>
    </w:lvl>
    <w:lvl w:ilvl="1" w:tplc="81F88F24">
      <w:numFmt w:val="bullet"/>
      <w:lvlText w:val="•"/>
      <w:lvlJc w:val="left"/>
      <w:pPr>
        <w:ind w:left="1000" w:hanging="540"/>
      </w:pPr>
      <w:rPr>
        <w:rFonts w:hint="default"/>
      </w:rPr>
    </w:lvl>
    <w:lvl w:ilvl="2" w:tplc="FC0ACBF0">
      <w:numFmt w:val="bullet"/>
      <w:lvlText w:val="•"/>
      <w:lvlJc w:val="left"/>
      <w:pPr>
        <w:ind w:left="1928" w:hanging="540"/>
      </w:pPr>
      <w:rPr>
        <w:rFonts w:hint="default"/>
      </w:rPr>
    </w:lvl>
    <w:lvl w:ilvl="3" w:tplc="509CE9D0">
      <w:numFmt w:val="bullet"/>
      <w:lvlText w:val="•"/>
      <w:lvlJc w:val="left"/>
      <w:pPr>
        <w:ind w:left="2857" w:hanging="540"/>
      </w:pPr>
      <w:rPr>
        <w:rFonts w:hint="default"/>
      </w:rPr>
    </w:lvl>
    <w:lvl w:ilvl="4" w:tplc="5AF617FE">
      <w:numFmt w:val="bullet"/>
      <w:lvlText w:val="•"/>
      <w:lvlJc w:val="left"/>
      <w:pPr>
        <w:ind w:left="3786" w:hanging="540"/>
      </w:pPr>
      <w:rPr>
        <w:rFonts w:hint="default"/>
      </w:rPr>
    </w:lvl>
    <w:lvl w:ilvl="5" w:tplc="C90C9026">
      <w:numFmt w:val="bullet"/>
      <w:lvlText w:val="•"/>
      <w:lvlJc w:val="left"/>
      <w:pPr>
        <w:ind w:left="4715" w:hanging="540"/>
      </w:pPr>
      <w:rPr>
        <w:rFonts w:hint="default"/>
      </w:rPr>
    </w:lvl>
    <w:lvl w:ilvl="6" w:tplc="9C4ED2E4">
      <w:numFmt w:val="bullet"/>
      <w:lvlText w:val="•"/>
      <w:lvlJc w:val="left"/>
      <w:pPr>
        <w:ind w:left="5644" w:hanging="540"/>
      </w:pPr>
      <w:rPr>
        <w:rFonts w:hint="default"/>
      </w:rPr>
    </w:lvl>
    <w:lvl w:ilvl="7" w:tplc="1FB26134">
      <w:numFmt w:val="bullet"/>
      <w:lvlText w:val="•"/>
      <w:lvlJc w:val="left"/>
      <w:pPr>
        <w:ind w:left="6573" w:hanging="540"/>
      </w:pPr>
      <w:rPr>
        <w:rFonts w:hint="default"/>
      </w:rPr>
    </w:lvl>
    <w:lvl w:ilvl="8" w:tplc="5E94B0CA">
      <w:numFmt w:val="bullet"/>
      <w:lvlText w:val="•"/>
      <w:lvlJc w:val="left"/>
      <w:pPr>
        <w:ind w:left="7502" w:hanging="540"/>
      </w:pPr>
      <w:rPr>
        <w:rFonts w:hint="default"/>
      </w:rPr>
    </w:lvl>
  </w:abstractNum>
  <w:abstractNum w:abstractNumId="8" w15:restartNumberingAfterBreak="0">
    <w:nsid w:val="13B65281"/>
    <w:multiLevelType w:val="hybridMultilevel"/>
    <w:tmpl w:val="3926B07E"/>
    <w:lvl w:ilvl="0" w:tplc="D9AE7A12">
      <w:start w:val="1"/>
      <w:numFmt w:val="decimal"/>
      <w:lvlText w:val="%1."/>
      <w:lvlJc w:val="left"/>
      <w:pPr>
        <w:ind w:left="540" w:hanging="540"/>
      </w:pPr>
      <w:rPr>
        <w:rFonts w:ascii="Times New Roman" w:eastAsia="Times New Roman" w:hAnsi="Times New Roman" w:cs="Times New Roman" w:hint="default"/>
        <w:spacing w:val="-8"/>
        <w:w w:val="99"/>
        <w:sz w:val="24"/>
        <w:szCs w:val="24"/>
      </w:rPr>
    </w:lvl>
    <w:lvl w:ilvl="1" w:tplc="81F88F24">
      <w:numFmt w:val="bullet"/>
      <w:lvlText w:val="•"/>
      <w:lvlJc w:val="left"/>
      <w:pPr>
        <w:ind w:left="1000" w:hanging="540"/>
      </w:pPr>
      <w:rPr>
        <w:rFonts w:hint="default"/>
      </w:rPr>
    </w:lvl>
    <w:lvl w:ilvl="2" w:tplc="FC0ACBF0">
      <w:numFmt w:val="bullet"/>
      <w:lvlText w:val="•"/>
      <w:lvlJc w:val="left"/>
      <w:pPr>
        <w:ind w:left="1928" w:hanging="540"/>
      </w:pPr>
      <w:rPr>
        <w:rFonts w:hint="default"/>
      </w:rPr>
    </w:lvl>
    <w:lvl w:ilvl="3" w:tplc="509CE9D0">
      <w:numFmt w:val="bullet"/>
      <w:lvlText w:val="•"/>
      <w:lvlJc w:val="left"/>
      <w:pPr>
        <w:ind w:left="2857" w:hanging="540"/>
      </w:pPr>
      <w:rPr>
        <w:rFonts w:hint="default"/>
      </w:rPr>
    </w:lvl>
    <w:lvl w:ilvl="4" w:tplc="5AF617FE">
      <w:numFmt w:val="bullet"/>
      <w:lvlText w:val="•"/>
      <w:lvlJc w:val="left"/>
      <w:pPr>
        <w:ind w:left="3786" w:hanging="540"/>
      </w:pPr>
      <w:rPr>
        <w:rFonts w:hint="default"/>
      </w:rPr>
    </w:lvl>
    <w:lvl w:ilvl="5" w:tplc="C90C9026">
      <w:numFmt w:val="bullet"/>
      <w:lvlText w:val="•"/>
      <w:lvlJc w:val="left"/>
      <w:pPr>
        <w:ind w:left="4715" w:hanging="540"/>
      </w:pPr>
      <w:rPr>
        <w:rFonts w:hint="default"/>
      </w:rPr>
    </w:lvl>
    <w:lvl w:ilvl="6" w:tplc="9C4ED2E4">
      <w:numFmt w:val="bullet"/>
      <w:lvlText w:val="•"/>
      <w:lvlJc w:val="left"/>
      <w:pPr>
        <w:ind w:left="5644" w:hanging="540"/>
      </w:pPr>
      <w:rPr>
        <w:rFonts w:hint="default"/>
      </w:rPr>
    </w:lvl>
    <w:lvl w:ilvl="7" w:tplc="1FB26134">
      <w:numFmt w:val="bullet"/>
      <w:lvlText w:val="•"/>
      <w:lvlJc w:val="left"/>
      <w:pPr>
        <w:ind w:left="6573" w:hanging="540"/>
      </w:pPr>
      <w:rPr>
        <w:rFonts w:hint="default"/>
      </w:rPr>
    </w:lvl>
    <w:lvl w:ilvl="8" w:tplc="5E94B0CA">
      <w:numFmt w:val="bullet"/>
      <w:lvlText w:val="•"/>
      <w:lvlJc w:val="left"/>
      <w:pPr>
        <w:ind w:left="7502" w:hanging="540"/>
      </w:pPr>
      <w:rPr>
        <w:rFonts w:hint="default"/>
      </w:rPr>
    </w:lvl>
  </w:abstractNum>
  <w:abstractNum w:abstractNumId="9" w15:restartNumberingAfterBreak="0">
    <w:nsid w:val="17636E21"/>
    <w:multiLevelType w:val="hybridMultilevel"/>
    <w:tmpl w:val="58AAE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8B7C79"/>
    <w:multiLevelType w:val="hybridMultilevel"/>
    <w:tmpl w:val="01A20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9F6622"/>
    <w:multiLevelType w:val="hybridMultilevel"/>
    <w:tmpl w:val="7C60CC5C"/>
    <w:lvl w:ilvl="0" w:tplc="F8685B34">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740B5C"/>
    <w:multiLevelType w:val="hybridMultilevel"/>
    <w:tmpl w:val="E9644E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556F4E"/>
    <w:multiLevelType w:val="hybridMultilevel"/>
    <w:tmpl w:val="F0582124"/>
    <w:lvl w:ilvl="0" w:tplc="D9AE7A12">
      <w:start w:val="1"/>
      <w:numFmt w:val="decimal"/>
      <w:lvlText w:val="%1."/>
      <w:lvlJc w:val="left"/>
      <w:pPr>
        <w:ind w:left="540" w:hanging="540"/>
      </w:pPr>
      <w:rPr>
        <w:rFonts w:ascii="Times New Roman" w:eastAsia="Times New Roman" w:hAnsi="Times New Roman" w:cs="Times New Roman" w:hint="default"/>
        <w:spacing w:val="-8"/>
        <w:w w:val="99"/>
        <w:sz w:val="24"/>
        <w:szCs w:val="24"/>
      </w:rPr>
    </w:lvl>
    <w:lvl w:ilvl="1" w:tplc="81F88F24">
      <w:numFmt w:val="bullet"/>
      <w:lvlText w:val="•"/>
      <w:lvlJc w:val="left"/>
      <w:pPr>
        <w:ind w:left="1000" w:hanging="540"/>
      </w:pPr>
      <w:rPr>
        <w:rFonts w:hint="default"/>
      </w:rPr>
    </w:lvl>
    <w:lvl w:ilvl="2" w:tplc="FC0ACBF0">
      <w:numFmt w:val="bullet"/>
      <w:lvlText w:val="•"/>
      <w:lvlJc w:val="left"/>
      <w:pPr>
        <w:ind w:left="1928" w:hanging="540"/>
      </w:pPr>
      <w:rPr>
        <w:rFonts w:hint="default"/>
      </w:rPr>
    </w:lvl>
    <w:lvl w:ilvl="3" w:tplc="509CE9D0">
      <w:numFmt w:val="bullet"/>
      <w:lvlText w:val="•"/>
      <w:lvlJc w:val="left"/>
      <w:pPr>
        <w:ind w:left="2857" w:hanging="540"/>
      </w:pPr>
      <w:rPr>
        <w:rFonts w:hint="default"/>
      </w:rPr>
    </w:lvl>
    <w:lvl w:ilvl="4" w:tplc="5AF617FE">
      <w:numFmt w:val="bullet"/>
      <w:lvlText w:val="•"/>
      <w:lvlJc w:val="left"/>
      <w:pPr>
        <w:ind w:left="3786" w:hanging="540"/>
      </w:pPr>
      <w:rPr>
        <w:rFonts w:hint="default"/>
      </w:rPr>
    </w:lvl>
    <w:lvl w:ilvl="5" w:tplc="C90C9026">
      <w:numFmt w:val="bullet"/>
      <w:lvlText w:val="•"/>
      <w:lvlJc w:val="left"/>
      <w:pPr>
        <w:ind w:left="4715" w:hanging="540"/>
      </w:pPr>
      <w:rPr>
        <w:rFonts w:hint="default"/>
      </w:rPr>
    </w:lvl>
    <w:lvl w:ilvl="6" w:tplc="9C4ED2E4">
      <w:numFmt w:val="bullet"/>
      <w:lvlText w:val="•"/>
      <w:lvlJc w:val="left"/>
      <w:pPr>
        <w:ind w:left="5644" w:hanging="540"/>
      </w:pPr>
      <w:rPr>
        <w:rFonts w:hint="default"/>
      </w:rPr>
    </w:lvl>
    <w:lvl w:ilvl="7" w:tplc="1FB26134">
      <w:numFmt w:val="bullet"/>
      <w:lvlText w:val="•"/>
      <w:lvlJc w:val="left"/>
      <w:pPr>
        <w:ind w:left="6573" w:hanging="540"/>
      </w:pPr>
      <w:rPr>
        <w:rFonts w:hint="default"/>
      </w:rPr>
    </w:lvl>
    <w:lvl w:ilvl="8" w:tplc="5E94B0CA">
      <w:numFmt w:val="bullet"/>
      <w:lvlText w:val="•"/>
      <w:lvlJc w:val="left"/>
      <w:pPr>
        <w:ind w:left="7502" w:hanging="540"/>
      </w:pPr>
      <w:rPr>
        <w:rFonts w:hint="default"/>
      </w:rPr>
    </w:lvl>
  </w:abstractNum>
  <w:abstractNum w:abstractNumId="14" w15:restartNumberingAfterBreak="0">
    <w:nsid w:val="2A6C1E84"/>
    <w:multiLevelType w:val="hybridMultilevel"/>
    <w:tmpl w:val="316089C2"/>
    <w:lvl w:ilvl="0" w:tplc="E090B552">
      <w:start w:val="1"/>
      <w:numFmt w:val="decimal"/>
      <w:lvlText w:val="%1."/>
      <w:lvlJc w:val="left"/>
      <w:pPr>
        <w:ind w:left="706" w:hanging="567"/>
      </w:pPr>
      <w:rPr>
        <w:rFonts w:ascii="Times New Roman" w:eastAsia="Times New Roman" w:hAnsi="Times New Roman" w:cs="Times New Roman" w:hint="default"/>
        <w:spacing w:val="-5"/>
        <w:w w:val="99"/>
        <w:sz w:val="24"/>
        <w:szCs w:val="24"/>
      </w:rPr>
    </w:lvl>
    <w:lvl w:ilvl="1" w:tplc="9EDAAB3A">
      <w:start w:val="1"/>
      <w:numFmt w:val="lowerLetter"/>
      <w:lvlText w:val="%2."/>
      <w:lvlJc w:val="left"/>
      <w:pPr>
        <w:ind w:left="1180" w:hanging="360"/>
      </w:pPr>
      <w:rPr>
        <w:rFonts w:ascii="Times New Roman" w:eastAsia="Times New Roman" w:hAnsi="Times New Roman" w:cs="Times New Roman" w:hint="default"/>
        <w:spacing w:val="-5"/>
        <w:w w:val="99"/>
        <w:sz w:val="24"/>
        <w:szCs w:val="24"/>
      </w:rPr>
    </w:lvl>
    <w:lvl w:ilvl="2" w:tplc="6B5E8B8C">
      <w:start w:val="1"/>
      <w:numFmt w:val="lowerRoman"/>
      <w:lvlText w:val="%3."/>
      <w:lvlJc w:val="left"/>
      <w:pPr>
        <w:ind w:left="1540" w:hanging="308"/>
      </w:pPr>
      <w:rPr>
        <w:rFonts w:ascii="Times New Roman" w:eastAsia="Times New Roman" w:hAnsi="Times New Roman" w:cs="Times New Roman" w:hint="default"/>
        <w:spacing w:val="-5"/>
        <w:w w:val="99"/>
        <w:sz w:val="24"/>
        <w:szCs w:val="24"/>
      </w:rPr>
    </w:lvl>
    <w:lvl w:ilvl="3" w:tplc="F3687AA0">
      <w:numFmt w:val="bullet"/>
      <w:lvlText w:val="•"/>
      <w:lvlJc w:val="left"/>
      <w:pPr>
        <w:ind w:left="1280" w:hanging="308"/>
      </w:pPr>
      <w:rPr>
        <w:rFonts w:hint="default"/>
      </w:rPr>
    </w:lvl>
    <w:lvl w:ilvl="4" w:tplc="BCA48388">
      <w:numFmt w:val="bullet"/>
      <w:lvlText w:val="•"/>
      <w:lvlJc w:val="left"/>
      <w:pPr>
        <w:ind w:left="1300" w:hanging="308"/>
      </w:pPr>
      <w:rPr>
        <w:rFonts w:hint="default"/>
      </w:rPr>
    </w:lvl>
    <w:lvl w:ilvl="5" w:tplc="5E6E0CF8">
      <w:numFmt w:val="bullet"/>
      <w:lvlText w:val="•"/>
      <w:lvlJc w:val="left"/>
      <w:pPr>
        <w:ind w:left="1540" w:hanging="308"/>
      </w:pPr>
      <w:rPr>
        <w:rFonts w:hint="default"/>
      </w:rPr>
    </w:lvl>
    <w:lvl w:ilvl="6" w:tplc="EF645D56">
      <w:numFmt w:val="bullet"/>
      <w:lvlText w:val="•"/>
      <w:lvlJc w:val="left"/>
      <w:pPr>
        <w:ind w:left="1560" w:hanging="308"/>
      </w:pPr>
      <w:rPr>
        <w:rFonts w:hint="default"/>
      </w:rPr>
    </w:lvl>
    <w:lvl w:ilvl="7" w:tplc="03F2D0E2">
      <w:numFmt w:val="bullet"/>
      <w:lvlText w:val="•"/>
      <w:lvlJc w:val="left"/>
      <w:pPr>
        <w:ind w:left="1820" w:hanging="308"/>
      </w:pPr>
      <w:rPr>
        <w:rFonts w:hint="default"/>
      </w:rPr>
    </w:lvl>
    <w:lvl w:ilvl="8" w:tplc="245647B6">
      <w:numFmt w:val="bullet"/>
      <w:lvlText w:val="•"/>
      <w:lvlJc w:val="left"/>
      <w:pPr>
        <w:ind w:left="4280" w:hanging="308"/>
      </w:pPr>
      <w:rPr>
        <w:rFonts w:hint="default"/>
      </w:rPr>
    </w:lvl>
  </w:abstractNum>
  <w:abstractNum w:abstractNumId="15" w15:restartNumberingAfterBreak="0">
    <w:nsid w:val="31233F81"/>
    <w:multiLevelType w:val="hybridMultilevel"/>
    <w:tmpl w:val="18BEA618"/>
    <w:lvl w:ilvl="0" w:tplc="D9AE7A12">
      <w:start w:val="1"/>
      <w:numFmt w:val="decimal"/>
      <w:lvlText w:val="%1."/>
      <w:lvlJc w:val="left"/>
      <w:pPr>
        <w:ind w:left="540" w:hanging="540"/>
      </w:pPr>
      <w:rPr>
        <w:rFonts w:ascii="Times New Roman" w:eastAsia="Times New Roman" w:hAnsi="Times New Roman" w:cs="Times New Roman" w:hint="default"/>
        <w:spacing w:val="-8"/>
        <w:w w:val="99"/>
        <w:sz w:val="24"/>
        <w:szCs w:val="24"/>
      </w:rPr>
    </w:lvl>
    <w:lvl w:ilvl="1" w:tplc="81F88F24">
      <w:numFmt w:val="bullet"/>
      <w:lvlText w:val="•"/>
      <w:lvlJc w:val="left"/>
      <w:pPr>
        <w:ind w:left="1000" w:hanging="540"/>
      </w:pPr>
      <w:rPr>
        <w:rFonts w:hint="default"/>
      </w:rPr>
    </w:lvl>
    <w:lvl w:ilvl="2" w:tplc="FC0ACBF0">
      <w:numFmt w:val="bullet"/>
      <w:lvlText w:val="•"/>
      <w:lvlJc w:val="left"/>
      <w:pPr>
        <w:ind w:left="1928" w:hanging="540"/>
      </w:pPr>
      <w:rPr>
        <w:rFonts w:hint="default"/>
      </w:rPr>
    </w:lvl>
    <w:lvl w:ilvl="3" w:tplc="509CE9D0">
      <w:numFmt w:val="bullet"/>
      <w:lvlText w:val="•"/>
      <w:lvlJc w:val="left"/>
      <w:pPr>
        <w:ind w:left="2857" w:hanging="540"/>
      </w:pPr>
      <w:rPr>
        <w:rFonts w:hint="default"/>
      </w:rPr>
    </w:lvl>
    <w:lvl w:ilvl="4" w:tplc="5AF617FE">
      <w:numFmt w:val="bullet"/>
      <w:lvlText w:val="•"/>
      <w:lvlJc w:val="left"/>
      <w:pPr>
        <w:ind w:left="3786" w:hanging="540"/>
      </w:pPr>
      <w:rPr>
        <w:rFonts w:hint="default"/>
      </w:rPr>
    </w:lvl>
    <w:lvl w:ilvl="5" w:tplc="C90C9026">
      <w:numFmt w:val="bullet"/>
      <w:lvlText w:val="•"/>
      <w:lvlJc w:val="left"/>
      <w:pPr>
        <w:ind w:left="4715" w:hanging="540"/>
      </w:pPr>
      <w:rPr>
        <w:rFonts w:hint="default"/>
      </w:rPr>
    </w:lvl>
    <w:lvl w:ilvl="6" w:tplc="9C4ED2E4">
      <w:numFmt w:val="bullet"/>
      <w:lvlText w:val="•"/>
      <w:lvlJc w:val="left"/>
      <w:pPr>
        <w:ind w:left="5644" w:hanging="540"/>
      </w:pPr>
      <w:rPr>
        <w:rFonts w:hint="default"/>
      </w:rPr>
    </w:lvl>
    <w:lvl w:ilvl="7" w:tplc="1FB26134">
      <w:numFmt w:val="bullet"/>
      <w:lvlText w:val="•"/>
      <w:lvlJc w:val="left"/>
      <w:pPr>
        <w:ind w:left="6573" w:hanging="540"/>
      </w:pPr>
      <w:rPr>
        <w:rFonts w:hint="default"/>
      </w:rPr>
    </w:lvl>
    <w:lvl w:ilvl="8" w:tplc="5E94B0CA">
      <w:numFmt w:val="bullet"/>
      <w:lvlText w:val="•"/>
      <w:lvlJc w:val="left"/>
      <w:pPr>
        <w:ind w:left="7502" w:hanging="540"/>
      </w:pPr>
      <w:rPr>
        <w:rFonts w:hint="default"/>
      </w:rPr>
    </w:lvl>
  </w:abstractNum>
  <w:abstractNum w:abstractNumId="16" w15:restartNumberingAfterBreak="0">
    <w:nsid w:val="33D368AE"/>
    <w:multiLevelType w:val="hybridMultilevel"/>
    <w:tmpl w:val="47F4C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636966"/>
    <w:multiLevelType w:val="hybridMultilevel"/>
    <w:tmpl w:val="C4AC830A"/>
    <w:lvl w:ilvl="0" w:tplc="E090B552">
      <w:start w:val="1"/>
      <w:numFmt w:val="decimal"/>
      <w:lvlText w:val="%1."/>
      <w:lvlJc w:val="left"/>
      <w:pPr>
        <w:ind w:left="706" w:hanging="567"/>
      </w:pPr>
      <w:rPr>
        <w:rFonts w:ascii="Times New Roman" w:eastAsia="Times New Roman" w:hAnsi="Times New Roman" w:cs="Times New Roman" w:hint="default"/>
        <w:spacing w:val="-5"/>
        <w:w w:val="99"/>
        <w:sz w:val="24"/>
        <w:szCs w:val="24"/>
      </w:rPr>
    </w:lvl>
    <w:lvl w:ilvl="1" w:tplc="9EDAAB3A">
      <w:start w:val="1"/>
      <w:numFmt w:val="lowerLetter"/>
      <w:lvlText w:val="%2."/>
      <w:lvlJc w:val="left"/>
      <w:pPr>
        <w:ind w:left="1180" w:hanging="360"/>
      </w:pPr>
      <w:rPr>
        <w:rFonts w:ascii="Times New Roman" w:eastAsia="Times New Roman" w:hAnsi="Times New Roman" w:cs="Times New Roman" w:hint="default"/>
        <w:spacing w:val="-5"/>
        <w:w w:val="99"/>
        <w:sz w:val="24"/>
        <w:szCs w:val="24"/>
      </w:rPr>
    </w:lvl>
    <w:lvl w:ilvl="2" w:tplc="6B5E8B8C">
      <w:start w:val="1"/>
      <w:numFmt w:val="lowerRoman"/>
      <w:lvlText w:val="%3."/>
      <w:lvlJc w:val="left"/>
      <w:pPr>
        <w:ind w:left="1540" w:hanging="308"/>
      </w:pPr>
      <w:rPr>
        <w:rFonts w:ascii="Times New Roman" w:eastAsia="Times New Roman" w:hAnsi="Times New Roman" w:cs="Times New Roman" w:hint="default"/>
        <w:spacing w:val="-5"/>
        <w:w w:val="99"/>
        <w:sz w:val="24"/>
        <w:szCs w:val="24"/>
      </w:rPr>
    </w:lvl>
    <w:lvl w:ilvl="3" w:tplc="F3687AA0">
      <w:numFmt w:val="bullet"/>
      <w:lvlText w:val="•"/>
      <w:lvlJc w:val="left"/>
      <w:pPr>
        <w:ind w:left="1280" w:hanging="308"/>
      </w:pPr>
      <w:rPr>
        <w:rFonts w:hint="default"/>
      </w:rPr>
    </w:lvl>
    <w:lvl w:ilvl="4" w:tplc="BCA48388">
      <w:numFmt w:val="bullet"/>
      <w:lvlText w:val="•"/>
      <w:lvlJc w:val="left"/>
      <w:pPr>
        <w:ind w:left="1300" w:hanging="308"/>
      </w:pPr>
      <w:rPr>
        <w:rFonts w:hint="default"/>
      </w:rPr>
    </w:lvl>
    <w:lvl w:ilvl="5" w:tplc="5E6E0CF8">
      <w:numFmt w:val="bullet"/>
      <w:lvlText w:val="•"/>
      <w:lvlJc w:val="left"/>
      <w:pPr>
        <w:ind w:left="1540" w:hanging="308"/>
      </w:pPr>
      <w:rPr>
        <w:rFonts w:hint="default"/>
      </w:rPr>
    </w:lvl>
    <w:lvl w:ilvl="6" w:tplc="EF645D56">
      <w:numFmt w:val="bullet"/>
      <w:lvlText w:val="•"/>
      <w:lvlJc w:val="left"/>
      <w:pPr>
        <w:ind w:left="1560" w:hanging="308"/>
      </w:pPr>
      <w:rPr>
        <w:rFonts w:hint="default"/>
      </w:rPr>
    </w:lvl>
    <w:lvl w:ilvl="7" w:tplc="03F2D0E2">
      <w:numFmt w:val="bullet"/>
      <w:lvlText w:val="•"/>
      <w:lvlJc w:val="left"/>
      <w:pPr>
        <w:ind w:left="1820" w:hanging="308"/>
      </w:pPr>
      <w:rPr>
        <w:rFonts w:hint="default"/>
      </w:rPr>
    </w:lvl>
    <w:lvl w:ilvl="8" w:tplc="245647B6">
      <w:numFmt w:val="bullet"/>
      <w:lvlText w:val="•"/>
      <w:lvlJc w:val="left"/>
      <w:pPr>
        <w:ind w:left="4280" w:hanging="308"/>
      </w:pPr>
      <w:rPr>
        <w:rFonts w:hint="default"/>
      </w:rPr>
    </w:lvl>
  </w:abstractNum>
  <w:abstractNum w:abstractNumId="18" w15:restartNumberingAfterBreak="0">
    <w:nsid w:val="3F2526D0"/>
    <w:multiLevelType w:val="hybridMultilevel"/>
    <w:tmpl w:val="8B747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AD38F8"/>
    <w:multiLevelType w:val="hybridMultilevel"/>
    <w:tmpl w:val="E15292B6"/>
    <w:lvl w:ilvl="0" w:tplc="E090B552">
      <w:start w:val="1"/>
      <w:numFmt w:val="decimal"/>
      <w:lvlText w:val="%1."/>
      <w:lvlJc w:val="left"/>
      <w:pPr>
        <w:ind w:left="706" w:hanging="567"/>
      </w:pPr>
      <w:rPr>
        <w:rFonts w:ascii="Times New Roman" w:eastAsia="Times New Roman" w:hAnsi="Times New Roman" w:cs="Times New Roman" w:hint="default"/>
        <w:spacing w:val="-5"/>
        <w:w w:val="99"/>
        <w:sz w:val="24"/>
        <w:szCs w:val="24"/>
      </w:rPr>
    </w:lvl>
    <w:lvl w:ilvl="1" w:tplc="9EDAAB3A">
      <w:start w:val="1"/>
      <w:numFmt w:val="lowerLetter"/>
      <w:lvlText w:val="%2."/>
      <w:lvlJc w:val="left"/>
      <w:pPr>
        <w:ind w:left="1180" w:hanging="360"/>
      </w:pPr>
      <w:rPr>
        <w:rFonts w:ascii="Times New Roman" w:eastAsia="Times New Roman" w:hAnsi="Times New Roman" w:cs="Times New Roman" w:hint="default"/>
        <w:spacing w:val="-5"/>
        <w:w w:val="99"/>
        <w:sz w:val="24"/>
        <w:szCs w:val="24"/>
      </w:rPr>
    </w:lvl>
    <w:lvl w:ilvl="2" w:tplc="6B5E8B8C">
      <w:start w:val="1"/>
      <w:numFmt w:val="lowerRoman"/>
      <w:lvlText w:val="%3."/>
      <w:lvlJc w:val="left"/>
      <w:pPr>
        <w:ind w:left="1540" w:hanging="308"/>
      </w:pPr>
      <w:rPr>
        <w:rFonts w:ascii="Times New Roman" w:eastAsia="Times New Roman" w:hAnsi="Times New Roman" w:cs="Times New Roman" w:hint="default"/>
        <w:spacing w:val="-5"/>
        <w:w w:val="99"/>
        <w:sz w:val="24"/>
        <w:szCs w:val="24"/>
      </w:rPr>
    </w:lvl>
    <w:lvl w:ilvl="3" w:tplc="F3687AA0">
      <w:numFmt w:val="bullet"/>
      <w:lvlText w:val="•"/>
      <w:lvlJc w:val="left"/>
      <w:pPr>
        <w:ind w:left="1280" w:hanging="308"/>
      </w:pPr>
      <w:rPr>
        <w:rFonts w:hint="default"/>
      </w:rPr>
    </w:lvl>
    <w:lvl w:ilvl="4" w:tplc="BCA48388">
      <w:numFmt w:val="bullet"/>
      <w:lvlText w:val="•"/>
      <w:lvlJc w:val="left"/>
      <w:pPr>
        <w:ind w:left="1300" w:hanging="308"/>
      </w:pPr>
      <w:rPr>
        <w:rFonts w:hint="default"/>
      </w:rPr>
    </w:lvl>
    <w:lvl w:ilvl="5" w:tplc="5E6E0CF8">
      <w:numFmt w:val="bullet"/>
      <w:lvlText w:val="•"/>
      <w:lvlJc w:val="left"/>
      <w:pPr>
        <w:ind w:left="1540" w:hanging="308"/>
      </w:pPr>
      <w:rPr>
        <w:rFonts w:hint="default"/>
      </w:rPr>
    </w:lvl>
    <w:lvl w:ilvl="6" w:tplc="EF645D56">
      <w:numFmt w:val="bullet"/>
      <w:lvlText w:val="•"/>
      <w:lvlJc w:val="left"/>
      <w:pPr>
        <w:ind w:left="1560" w:hanging="308"/>
      </w:pPr>
      <w:rPr>
        <w:rFonts w:hint="default"/>
      </w:rPr>
    </w:lvl>
    <w:lvl w:ilvl="7" w:tplc="03F2D0E2">
      <w:numFmt w:val="bullet"/>
      <w:lvlText w:val="•"/>
      <w:lvlJc w:val="left"/>
      <w:pPr>
        <w:ind w:left="1820" w:hanging="308"/>
      </w:pPr>
      <w:rPr>
        <w:rFonts w:hint="default"/>
      </w:rPr>
    </w:lvl>
    <w:lvl w:ilvl="8" w:tplc="245647B6">
      <w:numFmt w:val="bullet"/>
      <w:lvlText w:val="•"/>
      <w:lvlJc w:val="left"/>
      <w:pPr>
        <w:ind w:left="4280" w:hanging="308"/>
      </w:pPr>
      <w:rPr>
        <w:rFonts w:hint="default"/>
      </w:rPr>
    </w:lvl>
  </w:abstractNum>
  <w:abstractNum w:abstractNumId="20" w15:restartNumberingAfterBreak="0">
    <w:nsid w:val="488A1407"/>
    <w:multiLevelType w:val="hybridMultilevel"/>
    <w:tmpl w:val="A64C6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E331AA"/>
    <w:multiLevelType w:val="hybridMultilevel"/>
    <w:tmpl w:val="8744CE82"/>
    <w:lvl w:ilvl="0" w:tplc="D9AE7A12">
      <w:start w:val="1"/>
      <w:numFmt w:val="decimal"/>
      <w:lvlText w:val="%1."/>
      <w:lvlJc w:val="left"/>
      <w:pPr>
        <w:ind w:left="540" w:hanging="540"/>
      </w:pPr>
      <w:rPr>
        <w:rFonts w:ascii="Times New Roman" w:eastAsia="Times New Roman" w:hAnsi="Times New Roman" w:cs="Times New Roman" w:hint="default"/>
        <w:spacing w:val="-8"/>
        <w:w w:val="99"/>
        <w:sz w:val="24"/>
        <w:szCs w:val="24"/>
      </w:rPr>
    </w:lvl>
    <w:lvl w:ilvl="1" w:tplc="81F88F24">
      <w:numFmt w:val="bullet"/>
      <w:lvlText w:val="•"/>
      <w:lvlJc w:val="left"/>
      <w:pPr>
        <w:ind w:left="1000" w:hanging="540"/>
      </w:pPr>
      <w:rPr>
        <w:rFonts w:hint="default"/>
      </w:rPr>
    </w:lvl>
    <w:lvl w:ilvl="2" w:tplc="FC0ACBF0">
      <w:numFmt w:val="bullet"/>
      <w:lvlText w:val="•"/>
      <w:lvlJc w:val="left"/>
      <w:pPr>
        <w:ind w:left="1928" w:hanging="540"/>
      </w:pPr>
      <w:rPr>
        <w:rFonts w:hint="default"/>
      </w:rPr>
    </w:lvl>
    <w:lvl w:ilvl="3" w:tplc="509CE9D0">
      <w:numFmt w:val="bullet"/>
      <w:lvlText w:val="•"/>
      <w:lvlJc w:val="left"/>
      <w:pPr>
        <w:ind w:left="2857" w:hanging="540"/>
      </w:pPr>
      <w:rPr>
        <w:rFonts w:hint="default"/>
      </w:rPr>
    </w:lvl>
    <w:lvl w:ilvl="4" w:tplc="5AF617FE">
      <w:numFmt w:val="bullet"/>
      <w:lvlText w:val="•"/>
      <w:lvlJc w:val="left"/>
      <w:pPr>
        <w:ind w:left="3786" w:hanging="540"/>
      </w:pPr>
      <w:rPr>
        <w:rFonts w:hint="default"/>
      </w:rPr>
    </w:lvl>
    <w:lvl w:ilvl="5" w:tplc="C90C9026">
      <w:numFmt w:val="bullet"/>
      <w:lvlText w:val="•"/>
      <w:lvlJc w:val="left"/>
      <w:pPr>
        <w:ind w:left="4715" w:hanging="540"/>
      </w:pPr>
      <w:rPr>
        <w:rFonts w:hint="default"/>
      </w:rPr>
    </w:lvl>
    <w:lvl w:ilvl="6" w:tplc="9C4ED2E4">
      <w:numFmt w:val="bullet"/>
      <w:lvlText w:val="•"/>
      <w:lvlJc w:val="left"/>
      <w:pPr>
        <w:ind w:left="5644" w:hanging="540"/>
      </w:pPr>
      <w:rPr>
        <w:rFonts w:hint="default"/>
      </w:rPr>
    </w:lvl>
    <w:lvl w:ilvl="7" w:tplc="1FB26134">
      <w:numFmt w:val="bullet"/>
      <w:lvlText w:val="•"/>
      <w:lvlJc w:val="left"/>
      <w:pPr>
        <w:ind w:left="6573" w:hanging="540"/>
      </w:pPr>
      <w:rPr>
        <w:rFonts w:hint="default"/>
      </w:rPr>
    </w:lvl>
    <w:lvl w:ilvl="8" w:tplc="5E94B0CA">
      <w:numFmt w:val="bullet"/>
      <w:lvlText w:val="•"/>
      <w:lvlJc w:val="left"/>
      <w:pPr>
        <w:ind w:left="7502" w:hanging="540"/>
      </w:pPr>
      <w:rPr>
        <w:rFonts w:hint="default"/>
      </w:rPr>
    </w:lvl>
  </w:abstractNum>
  <w:abstractNum w:abstractNumId="22" w15:restartNumberingAfterBreak="0">
    <w:nsid w:val="512832CD"/>
    <w:multiLevelType w:val="hybridMultilevel"/>
    <w:tmpl w:val="D580112C"/>
    <w:lvl w:ilvl="0" w:tplc="F8685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B649D"/>
    <w:multiLevelType w:val="hybridMultilevel"/>
    <w:tmpl w:val="469A1428"/>
    <w:lvl w:ilvl="0" w:tplc="83C00626">
      <w:start w:val="1"/>
      <w:numFmt w:val="lowerLetter"/>
      <w:lvlText w:val="%1."/>
      <w:lvlJc w:val="left"/>
      <w:pPr>
        <w:ind w:left="1180" w:hanging="360"/>
      </w:pPr>
      <w:rPr>
        <w:rFonts w:ascii="Times New Roman" w:eastAsia="Times New Roman" w:hAnsi="Times New Roman" w:cs="Times New Roman" w:hint="default"/>
        <w:spacing w:val="-5"/>
        <w:w w:val="99"/>
        <w:sz w:val="24"/>
        <w:szCs w:val="24"/>
      </w:rPr>
    </w:lvl>
    <w:lvl w:ilvl="1" w:tplc="49E8ABD0">
      <w:numFmt w:val="bullet"/>
      <w:lvlText w:val="•"/>
      <w:lvlJc w:val="left"/>
      <w:pPr>
        <w:ind w:left="1992" w:hanging="360"/>
      </w:pPr>
      <w:rPr>
        <w:rFonts w:hint="default"/>
      </w:rPr>
    </w:lvl>
    <w:lvl w:ilvl="2" w:tplc="C4D259FE">
      <w:numFmt w:val="bullet"/>
      <w:lvlText w:val="•"/>
      <w:lvlJc w:val="left"/>
      <w:pPr>
        <w:ind w:left="2804" w:hanging="360"/>
      </w:pPr>
      <w:rPr>
        <w:rFonts w:hint="default"/>
      </w:rPr>
    </w:lvl>
    <w:lvl w:ilvl="3" w:tplc="F884765A">
      <w:numFmt w:val="bullet"/>
      <w:lvlText w:val="•"/>
      <w:lvlJc w:val="left"/>
      <w:pPr>
        <w:ind w:left="3616" w:hanging="360"/>
      </w:pPr>
      <w:rPr>
        <w:rFonts w:hint="default"/>
      </w:rPr>
    </w:lvl>
    <w:lvl w:ilvl="4" w:tplc="CABE7FB2">
      <w:numFmt w:val="bullet"/>
      <w:lvlText w:val="•"/>
      <w:lvlJc w:val="left"/>
      <w:pPr>
        <w:ind w:left="4428" w:hanging="360"/>
      </w:pPr>
      <w:rPr>
        <w:rFonts w:hint="default"/>
      </w:rPr>
    </w:lvl>
    <w:lvl w:ilvl="5" w:tplc="390836C6">
      <w:numFmt w:val="bullet"/>
      <w:lvlText w:val="•"/>
      <w:lvlJc w:val="left"/>
      <w:pPr>
        <w:ind w:left="5240" w:hanging="360"/>
      </w:pPr>
      <w:rPr>
        <w:rFonts w:hint="default"/>
      </w:rPr>
    </w:lvl>
    <w:lvl w:ilvl="6" w:tplc="D2742D50">
      <w:numFmt w:val="bullet"/>
      <w:lvlText w:val="•"/>
      <w:lvlJc w:val="left"/>
      <w:pPr>
        <w:ind w:left="6052" w:hanging="360"/>
      </w:pPr>
      <w:rPr>
        <w:rFonts w:hint="default"/>
      </w:rPr>
    </w:lvl>
    <w:lvl w:ilvl="7" w:tplc="ACA6EC02">
      <w:numFmt w:val="bullet"/>
      <w:lvlText w:val="•"/>
      <w:lvlJc w:val="left"/>
      <w:pPr>
        <w:ind w:left="6864" w:hanging="360"/>
      </w:pPr>
      <w:rPr>
        <w:rFonts w:hint="default"/>
      </w:rPr>
    </w:lvl>
    <w:lvl w:ilvl="8" w:tplc="AAE4656A">
      <w:numFmt w:val="bullet"/>
      <w:lvlText w:val="•"/>
      <w:lvlJc w:val="left"/>
      <w:pPr>
        <w:ind w:left="7676" w:hanging="360"/>
      </w:pPr>
      <w:rPr>
        <w:rFonts w:hint="default"/>
      </w:rPr>
    </w:lvl>
  </w:abstractNum>
  <w:abstractNum w:abstractNumId="24" w15:restartNumberingAfterBreak="0">
    <w:nsid w:val="54AA45BD"/>
    <w:multiLevelType w:val="multilevel"/>
    <w:tmpl w:val="EF7C1C7A"/>
    <w:lvl w:ilvl="0">
      <w:start w:val="11"/>
      <w:numFmt w:val="decimal"/>
      <w:lvlText w:val="%1"/>
      <w:lvlJc w:val="left"/>
      <w:pPr>
        <w:ind w:left="666" w:hanging="480"/>
      </w:pPr>
      <w:rPr>
        <w:rFonts w:hint="default"/>
      </w:rPr>
    </w:lvl>
    <w:lvl w:ilvl="1">
      <w:start w:val="1"/>
      <w:numFmt w:val="decimal"/>
      <w:lvlText w:val="%1.%2"/>
      <w:lvlJc w:val="left"/>
      <w:pPr>
        <w:ind w:left="666" w:hanging="480"/>
      </w:pPr>
      <w:rPr>
        <w:rFonts w:ascii="Times New Roman" w:eastAsia="Times New Roman" w:hAnsi="Times New Roman" w:cs="Times New Roman" w:hint="default"/>
        <w:spacing w:val="-5"/>
        <w:w w:val="99"/>
        <w:sz w:val="24"/>
        <w:szCs w:val="24"/>
      </w:rPr>
    </w:lvl>
    <w:lvl w:ilvl="2">
      <w:start w:val="1"/>
      <w:numFmt w:val="lowerLetter"/>
      <w:lvlText w:val="%3."/>
      <w:lvlJc w:val="left"/>
      <w:pPr>
        <w:ind w:left="1180" w:hanging="360"/>
      </w:pPr>
      <w:rPr>
        <w:rFonts w:ascii="Times New Roman" w:eastAsia="Times New Roman" w:hAnsi="Times New Roman" w:cs="Times New Roman" w:hint="default"/>
        <w:spacing w:val="-4"/>
        <w:w w:val="99"/>
        <w:sz w:val="24"/>
        <w:szCs w:val="24"/>
      </w:rPr>
    </w:lvl>
    <w:lvl w:ilvl="3">
      <w:numFmt w:val="bullet"/>
      <w:lvlText w:val="•"/>
      <w:lvlJc w:val="left"/>
      <w:pPr>
        <w:ind w:left="2993" w:hanging="360"/>
      </w:pPr>
      <w:rPr>
        <w:rFonts w:hint="default"/>
      </w:rPr>
    </w:lvl>
    <w:lvl w:ilvl="4">
      <w:numFmt w:val="bullet"/>
      <w:lvlText w:val="•"/>
      <w:lvlJc w:val="left"/>
      <w:pPr>
        <w:ind w:left="3900" w:hanging="360"/>
      </w:pPr>
      <w:rPr>
        <w:rFonts w:hint="default"/>
      </w:rPr>
    </w:lvl>
    <w:lvl w:ilvl="5">
      <w:numFmt w:val="bullet"/>
      <w:lvlText w:val="•"/>
      <w:lvlJc w:val="left"/>
      <w:pPr>
        <w:ind w:left="4806" w:hanging="360"/>
      </w:pPr>
      <w:rPr>
        <w:rFonts w:hint="default"/>
      </w:rPr>
    </w:lvl>
    <w:lvl w:ilvl="6">
      <w:numFmt w:val="bullet"/>
      <w:lvlText w:val="•"/>
      <w:lvlJc w:val="left"/>
      <w:pPr>
        <w:ind w:left="5713" w:hanging="360"/>
      </w:pPr>
      <w:rPr>
        <w:rFonts w:hint="default"/>
      </w:rPr>
    </w:lvl>
    <w:lvl w:ilvl="7">
      <w:numFmt w:val="bullet"/>
      <w:lvlText w:val="•"/>
      <w:lvlJc w:val="left"/>
      <w:pPr>
        <w:ind w:left="6620" w:hanging="360"/>
      </w:pPr>
      <w:rPr>
        <w:rFonts w:hint="default"/>
      </w:rPr>
    </w:lvl>
    <w:lvl w:ilvl="8">
      <w:numFmt w:val="bullet"/>
      <w:lvlText w:val="•"/>
      <w:lvlJc w:val="left"/>
      <w:pPr>
        <w:ind w:left="7526" w:hanging="360"/>
      </w:pPr>
      <w:rPr>
        <w:rFonts w:hint="default"/>
      </w:rPr>
    </w:lvl>
  </w:abstractNum>
  <w:abstractNum w:abstractNumId="25" w15:restartNumberingAfterBreak="0">
    <w:nsid w:val="567E6011"/>
    <w:multiLevelType w:val="hybridMultilevel"/>
    <w:tmpl w:val="8C12FFE8"/>
    <w:lvl w:ilvl="0" w:tplc="23B411E6">
      <w:start w:val="1"/>
      <w:numFmt w:val="lowerRoman"/>
      <w:lvlText w:val="(%1)"/>
      <w:lvlJc w:val="left"/>
      <w:pPr>
        <w:ind w:left="1811" w:hanging="452"/>
      </w:pPr>
      <w:rPr>
        <w:rFonts w:ascii="Times New Roman" w:eastAsia="Times New Roman" w:hAnsi="Times New Roman" w:cs="Times New Roman" w:hint="default"/>
        <w:spacing w:val="-8"/>
        <w:w w:val="99"/>
        <w:sz w:val="24"/>
        <w:szCs w:val="24"/>
      </w:rPr>
    </w:lvl>
    <w:lvl w:ilvl="1" w:tplc="E242BF10">
      <w:numFmt w:val="bullet"/>
      <w:lvlText w:val="•"/>
      <w:lvlJc w:val="left"/>
      <w:pPr>
        <w:ind w:left="2576" w:hanging="452"/>
      </w:pPr>
      <w:rPr>
        <w:rFonts w:hint="default"/>
      </w:rPr>
    </w:lvl>
    <w:lvl w:ilvl="2" w:tplc="82B26506">
      <w:numFmt w:val="bullet"/>
      <w:lvlText w:val="•"/>
      <w:lvlJc w:val="left"/>
      <w:pPr>
        <w:ind w:left="3332" w:hanging="452"/>
      </w:pPr>
      <w:rPr>
        <w:rFonts w:hint="default"/>
      </w:rPr>
    </w:lvl>
    <w:lvl w:ilvl="3" w:tplc="25604576">
      <w:numFmt w:val="bullet"/>
      <w:lvlText w:val="•"/>
      <w:lvlJc w:val="left"/>
      <w:pPr>
        <w:ind w:left="4088" w:hanging="452"/>
      </w:pPr>
      <w:rPr>
        <w:rFonts w:hint="default"/>
      </w:rPr>
    </w:lvl>
    <w:lvl w:ilvl="4" w:tplc="3EF6DC04">
      <w:numFmt w:val="bullet"/>
      <w:lvlText w:val="•"/>
      <w:lvlJc w:val="left"/>
      <w:pPr>
        <w:ind w:left="4844" w:hanging="452"/>
      </w:pPr>
      <w:rPr>
        <w:rFonts w:hint="default"/>
      </w:rPr>
    </w:lvl>
    <w:lvl w:ilvl="5" w:tplc="FFF28A0A">
      <w:numFmt w:val="bullet"/>
      <w:lvlText w:val="•"/>
      <w:lvlJc w:val="left"/>
      <w:pPr>
        <w:ind w:left="5600" w:hanging="452"/>
      </w:pPr>
      <w:rPr>
        <w:rFonts w:hint="default"/>
      </w:rPr>
    </w:lvl>
    <w:lvl w:ilvl="6" w:tplc="3B4677A0">
      <w:numFmt w:val="bullet"/>
      <w:lvlText w:val="•"/>
      <w:lvlJc w:val="left"/>
      <w:pPr>
        <w:ind w:left="6356" w:hanging="452"/>
      </w:pPr>
      <w:rPr>
        <w:rFonts w:hint="default"/>
      </w:rPr>
    </w:lvl>
    <w:lvl w:ilvl="7" w:tplc="CE5C1FB0">
      <w:numFmt w:val="bullet"/>
      <w:lvlText w:val="•"/>
      <w:lvlJc w:val="left"/>
      <w:pPr>
        <w:ind w:left="7112" w:hanging="452"/>
      </w:pPr>
      <w:rPr>
        <w:rFonts w:hint="default"/>
      </w:rPr>
    </w:lvl>
    <w:lvl w:ilvl="8" w:tplc="28D0288C">
      <w:numFmt w:val="bullet"/>
      <w:lvlText w:val="•"/>
      <w:lvlJc w:val="left"/>
      <w:pPr>
        <w:ind w:left="7868" w:hanging="452"/>
      </w:pPr>
      <w:rPr>
        <w:rFonts w:hint="default"/>
      </w:rPr>
    </w:lvl>
  </w:abstractNum>
  <w:abstractNum w:abstractNumId="26" w15:restartNumberingAfterBreak="0">
    <w:nsid w:val="574D7049"/>
    <w:multiLevelType w:val="hybridMultilevel"/>
    <w:tmpl w:val="84309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8D6D22"/>
    <w:multiLevelType w:val="hybridMultilevel"/>
    <w:tmpl w:val="0FCC8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2B3B0B"/>
    <w:multiLevelType w:val="hybridMultilevel"/>
    <w:tmpl w:val="95B4C83A"/>
    <w:lvl w:ilvl="0" w:tplc="FAECFC2A">
      <w:start w:val="1"/>
      <w:numFmt w:val="decimal"/>
      <w:lvlText w:val="%1."/>
      <w:lvlJc w:val="left"/>
      <w:pPr>
        <w:ind w:left="720" w:hanging="540"/>
      </w:pPr>
      <w:rPr>
        <w:rFonts w:asciiTheme="minorHAnsi" w:eastAsia="Times New Roman" w:hAnsiTheme="minorHAnsi" w:cstheme="minorHAnsi" w:hint="default"/>
        <w:spacing w:val="-8"/>
        <w:w w:val="99"/>
        <w:sz w:val="24"/>
        <w:szCs w:val="24"/>
      </w:rPr>
    </w:lvl>
    <w:lvl w:ilvl="1" w:tplc="81F88F24">
      <w:numFmt w:val="bullet"/>
      <w:lvlText w:val="•"/>
      <w:lvlJc w:val="left"/>
      <w:pPr>
        <w:ind w:left="1000" w:hanging="540"/>
      </w:pPr>
      <w:rPr>
        <w:rFonts w:hint="default"/>
      </w:rPr>
    </w:lvl>
    <w:lvl w:ilvl="2" w:tplc="FC0ACBF0">
      <w:numFmt w:val="bullet"/>
      <w:lvlText w:val="•"/>
      <w:lvlJc w:val="left"/>
      <w:pPr>
        <w:ind w:left="1928" w:hanging="540"/>
      </w:pPr>
      <w:rPr>
        <w:rFonts w:hint="default"/>
      </w:rPr>
    </w:lvl>
    <w:lvl w:ilvl="3" w:tplc="509CE9D0">
      <w:numFmt w:val="bullet"/>
      <w:lvlText w:val="•"/>
      <w:lvlJc w:val="left"/>
      <w:pPr>
        <w:ind w:left="2857" w:hanging="540"/>
      </w:pPr>
      <w:rPr>
        <w:rFonts w:hint="default"/>
      </w:rPr>
    </w:lvl>
    <w:lvl w:ilvl="4" w:tplc="5AF617FE">
      <w:numFmt w:val="bullet"/>
      <w:lvlText w:val="•"/>
      <w:lvlJc w:val="left"/>
      <w:pPr>
        <w:ind w:left="3786" w:hanging="540"/>
      </w:pPr>
      <w:rPr>
        <w:rFonts w:hint="default"/>
      </w:rPr>
    </w:lvl>
    <w:lvl w:ilvl="5" w:tplc="C90C9026">
      <w:numFmt w:val="bullet"/>
      <w:lvlText w:val="•"/>
      <w:lvlJc w:val="left"/>
      <w:pPr>
        <w:ind w:left="4715" w:hanging="540"/>
      </w:pPr>
      <w:rPr>
        <w:rFonts w:hint="default"/>
      </w:rPr>
    </w:lvl>
    <w:lvl w:ilvl="6" w:tplc="9C4ED2E4">
      <w:numFmt w:val="bullet"/>
      <w:lvlText w:val="•"/>
      <w:lvlJc w:val="left"/>
      <w:pPr>
        <w:ind w:left="5644" w:hanging="540"/>
      </w:pPr>
      <w:rPr>
        <w:rFonts w:hint="default"/>
      </w:rPr>
    </w:lvl>
    <w:lvl w:ilvl="7" w:tplc="1FB26134">
      <w:numFmt w:val="bullet"/>
      <w:lvlText w:val="•"/>
      <w:lvlJc w:val="left"/>
      <w:pPr>
        <w:ind w:left="6573" w:hanging="540"/>
      </w:pPr>
      <w:rPr>
        <w:rFonts w:hint="default"/>
      </w:rPr>
    </w:lvl>
    <w:lvl w:ilvl="8" w:tplc="5E94B0CA">
      <w:numFmt w:val="bullet"/>
      <w:lvlText w:val="•"/>
      <w:lvlJc w:val="left"/>
      <w:pPr>
        <w:ind w:left="7502" w:hanging="540"/>
      </w:pPr>
      <w:rPr>
        <w:rFonts w:hint="default"/>
      </w:rPr>
    </w:lvl>
  </w:abstractNum>
  <w:abstractNum w:abstractNumId="29" w15:restartNumberingAfterBreak="0">
    <w:nsid w:val="64863D7C"/>
    <w:multiLevelType w:val="hybridMultilevel"/>
    <w:tmpl w:val="602608C0"/>
    <w:lvl w:ilvl="0" w:tplc="D9AE7A12">
      <w:start w:val="1"/>
      <w:numFmt w:val="decimal"/>
      <w:lvlText w:val="%1."/>
      <w:lvlJc w:val="left"/>
      <w:pPr>
        <w:ind w:left="540" w:hanging="540"/>
      </w:pPr>
      <w:rPr>
        <w:rFonts w:ascii="Times New Roman" w:eastAsia="Times New Roman" w:hAnsi="Times New Roman" w:cs="Times New Roman" w:hint="default"/>
        <w:spacing w:val="-8"/>
        <w:w w:val="99"/>
        <w:sz w:val="24"/>
        <w:szCs w:val="24"/>
      </w:rPr>
    </w:lvl>
    <w:lvl w:ilvl="1" w:tplc="81F88F24">
      <w:numFmt w:val="bullet"/>
      <w:lvlText w:val="•"/>
      <w:lvlJc w:val="left"/>
      <w:pPr>
        <w:ind w:left="1000" w:hanging="540"/>
      </w:pPr>
      <w:rPr>
        <w:rFonts w:hint="default"/>
      </w:rPr>
    </w:lvl>
    <w:lvl w:ilvl="2" w:tplc="FC0ACBF0">
      <w:numFmt w:val="bullet"/>
      <w:lvlText w:val="•"/>
      <w:lvlJc w:val="left"/>
      <w:pPr>
        <w:ind w:left="1928" w:hanging="540"/>
      </w:pPr>
      <w:rPr>
        <w:rFonts w:hint="default"/>
      </w:rPr>
    </w:lvl>
    <w:lvl w:ilvl="3" w:tplc="509CE9D0">
      <w:numFmt w:val="bullet"/>
      <w:lvlText w:val="•"/>
      <w:lvlJc w:val="left"/>
      <w:pPr>
        <w:ind w:left="2857" w:hanging="540"/>
      </w:pPr>
      <w:rPr>
        <w:rFonts w:hint="default"/>
      </w:rPr>
    </w:lvl>
    <w:lvl w:ilvl="4" w:tplc="5AF617FE">
      <w:numFmt w:val="bullet"/>
      <w:lvlText w:val="•"/>
      <w:lvlJc w:val="left"/>
      <w:pPr>
        <w:ind w:left="3786" w:hanging="540"/>
      </w:pPr>
      <w:rPr>
        <w:rFonts w:hint="default"/>
      </w:rPr>
    </w:lvl>
    <w:lvl w:ilvl="5" w:tplc="C90C9026">
      <w:numFmt w:val="bullet"/>
      <w:lvlText w:val="•"/>
      <w:lvlJc w:val="left"/>
      <w:pPr>
        <w:ind w:left="4715" w:hanging="540"/>
      </w:pPr>
      <w:rPr>
        <w:rFonts w:hint="default"/>
      </w:rPr>
    </w:lvl>
    <w:lvl w:ilvl="6" w:tplc="9C4ED2E4">
      <w:numFmt w:val="bullet"/>
      <w:lvlText w:val="•"/>
      <w:lvlJc w:val="left"/>
      <w:pPr>
        <w:ind w:left="5644" w:hanging="540"/>
      </w:pPr>
      <w:rPr>
        <w:rFonts w:hint="default"/>
      </w:rPr>
    </w:lvl>
    <w:lvl w:ilvl="7" w:tplc="1FB26134">
      <w:numFmt w:val="bullet"/>
      <w:lvlText w:val="•"/>
      <w:lvlJc w:val="left"/>
      <w:pPr>
        <w:ind w:left="6573" w:hanging="540"/>
      </w:pPr>
      <w:rPr>
        <w:rFonts w:hint="default"/>
      </w:rPr>
    </w:lvl>
    <w:lvl w:ilvl="8" w:tplc="5E94B0CA">
      <w:numFmt w:val="bullet"/>
      <w:lvlText w:val="•"/>
      <w:lvlJc w:val="left"/>
      <w:pPr>
        <w:ind w:left="7502" w:hanging="540"/>
      </w:pPr>
      <w:rPr>
        <w:rFonts w:hint="default"/>
      </w:rPr>
    </w:lvl>
  </w:abstractNum>
  <w:abstractNum w:abstractNumId="30" w15:restartNumberingAfterBreak="0">
    <w:nsid w:val="64FA1542"/>
    <w:multiLevelType w:val="hybridMultilevel"/>
    <w:tmpl w:val="7C60CC5C"/>
    <w:lvl w:ilvl="0" w:tplc="F8685B34">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FF5186"/>
    <w:multiLevelType w:val="hybridMultilevel"/>
    <w:tmpl w:val="7C401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E53A5F"/>
    <w:multiLevelType w:val="hybridMultilevel"/>
    <w:tmpl w:val="F7A40428"/>
    <w:lvl w:ilvl="0" w:tplc="CA9EB17E">
      <w:start w:val="1"/>
      <w:numFmt w:val="upperLetter"/>
      <w:lvlText w:val="%1."/>
      <w:lvlJc w:val="left"/>
      <w:pPr>
        <w:ind w:left="1720" w:hanging="360"/>
      </w:pPr>
      <w:rPr>
        <w:rFonts w:ascii="Times New Roman" w:eastAsia="Times New Roman" w:hAnsi="Times New Roman" w:cs="Times New Roman" w:hint="default"/>
        <w:spacing w:val="-1"/>
        <w:w w:val="99"/>
        <w:sz w:val="24"/>
        <w:szCs w:val="24"/>
      </w:rPr>
    </w:lvl>
    <w:lvl w:ilvl="1" w:tplc="A66040CE">
      <w:numFmt w:val="bullet"/>
      <w:lvlText w:val="•"/>
      <w:lvlJc w:val="left"/>
      <w:pPr>
        <w:ind w:left="2486" w:hanging="360"/>
      </w:pPr>
      <w:rPr>
        <w:rFonts w:hint="default"/>
      </w:rPr>
    </w:lvl>
    <w:lvl w:ilvl="2" w:tplc="9F888F7C">
      <w:numFmt w:val="bullet"/>
      <w:lvlText w:val="•"/>
      <w:lvlJc w:val="left"/>
      <w:pPr>
        <w:ind w:left="3252" w:hanging="360"/>
      </w:pPr>
      <w:rPr>
        <w:rFonts w:hint="default"/>
      </w:rPr>
    </w:lvl>
    <w:lvl w:ilvl="3" w:tplc="30AA715E">
      <w:numFmt w:val="bullet"/>
      <w:lvlText w:val="•"/>
      <w:lvlJc w:val="left"/>
      <w:pPr>
        <w:ind w:left="4018" w:hanging="360"/>
      </w:pPr>
      <w:rPr>
        <w:rFonts w:hint="default"/>
      </w:rPr>
    </w:lvl>
    <w:lvl w:ilvl="4" w:tplc="93EE7FD8">
      <w:numFmt w:val="bullet"/>
      <w:lvlText w:val="•"/>
      <w:lvlJc w:val="left"/>
      <w:pPr>
        <w:ind w:left="4784" w:hanging="360"/>
      </w:pPr>
      <w:rPr>
        <w:rFonts w:hint="default"/>
      </w:rPr>
    </w:lvl>
    <w:lvl w:ilvl="5" w:tplc="F2B49CDA">
      <w:numFmt w:val="bullet"/>
      <w:lvlText w:val="•"/>
      <w:lvlJc w:val="left"/>
      <w:pPr>
        <w:ind w:left="5550" w:hanging="360"/>
      </w:pPr>
      <w:rPr>
        <w:rFonts w:hint="default"/>
      </w:rPr>
    </w:lvl>
    <w:lvl w:ilvl="6" w:tplc="C4DA99DE">
      <w:numFmt w:val="bullet"/>
      <w:lvlText w:val="•"/>
      <w:lvlJc w:val="left"/>
      <w:pPr>
        <w:ind w:left="6316" w:hanging="360"/>
      </w:pPr>
      <w:rPr>
        <w:rFonts w:hint="default"/>
      </w:rPr>
    </w:lvl>
    <w:lvl w:ilvl="7" w:tplc="4F4224E4">
      <w:numFmt w:val="bullet"/>
      <w:lvlText w:val="•"/>
      <w:lvlJc w:val="left"/>
      <w:pPr>
        <w:ind w:left="7082" w:hanging="360"/>
      </w:pPr>
      <w:rPr>
        <w:rFonts w:hint="default"/>
      </w:rPr>
    </w:lvl>
    <w:lvl w:ilvl="8" w:tplc="9CF00B30">
      <w:numFmt w:val="bullet"/>
      <w:lvlText w:val="•"/>
      <w:lvlJc w:val="left"/>
      <w:pPr>
        <w:ind w:left="7848" w:hanging="360"/>
      </w:pPr>
      <w:rPr>
        <w:rFonts w:hint="default"/>
      </w:rPr>
    </w:lvl>
  </w:abstractNum>
  <w:abstractNum w:abstractNumId="33" w15:restartNumberingAfterBreak="0">
    <w:nsid w:val="69F6578B"/>
    <w:multiLevelType w:val="hybridMultilevel"/>
    <w:tmpl w:val="7C5A146C"/>
    <w:lvl w:ilvl="0" w:tplc="0750C40C">
      <w:start w:val="26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753E4"/>
    <w:multiLevelType w:val="hybridMultilevel"/>
    <w:tmpl w:val="B13CB8E6"/>
    <w:lvl w:ilvl="0" w:tplc="D9AE7A12">
      <w:start w:val="1"/>
      <w:numFmt w:val="decimal"/>
      <w:lvlText w:val="%1."/>
      <w:lvlJc w:val="left"/>
      <w:pPr>
        <w:ind w:left="540" w:hanging="540"/>
      </w:pPr>
      <w:rPr>
        <w:rFonts w:ascii="Times New Roman" w:eastAsia="Times New Roman" w:hAnsi="Times New Roman" w:cs="Times New Roman" w:hint="default"/>
        <w:spacing w:val="-8"/>
        <w:w w:val="99"/>
        <w:sz w:val="24"/>
        <w:szCs w:val="24"/>
      </w:rPr>
    </w:lvl>
    <w:lvl w:ilvl="1" w:tplc="81F88F24">
      <w:numFmt w:val="bullet"/>
      <w:lvlText w:val="•"/>
      <w:lvlJc w:val="left"/>
      <w:pPr>
        <w:ind w:left="1000" w:hanging="540"/>
      </w:pPr>
      <w:rPr>
        <w:rFonts w:hint="default"/>
      </w:rPr>
    </w:lvl>
    <w:lvl w:ilvl="2" w:tplc="FC0ACBF0">
      <w:numFmt w:val="bullet"/>
      <w:lvlText w:val="•"/>
      <w:lvlJc w:val="left"/>
      <w:pPr>
        <w:ind w:left="1928" w:hanging="540"/>
      </w:pPr>
      <w:rPr>
        <w:rFonts w:hint="default"/>
      </w:rPr>
    </w:lvl>
    <w:lvl w:ilvl="3" w:tplc="509CE9D0">
      <w:numFmt w:val="bullet"/>
      <w:lvlText w:val="•"/>
      <w:lvlJc w:val="left"/>
      <w:pPr>
        <w:ind w:left="2857" w:hanging="540"/>
      </w:pPr>
      <w:rPr>
        <w:rFonts w:hint="default"/>
      </w:rPr>
    </w:lvl>
    <w:lvl w:ilvl="4" w:tplc="5AF617FE">
      <w:numFmt w:val="bullet"/>
      <w:lvlText w:val="•"/>
      <w:lvlJc w:val="left"/>
      <w:pPr>
        <w:ind w:left="3786" w:hanging="540"/>
      </w:pPr>
      <w:rPr>
        <w:rFonts w:hint="default"/>
      </w:rPr>
    </w:lvl>
    <w:lvl w:ilvl="5" w:tplc="C90C9026">
      <w:numFmt w:val="bullet"/>
      <w:lvlText w:val="•"/>
      <w:lvlJc w:val="left"/>
      <w:pPr>
        <w:ind w:left="4715" w:hanging="540"/>
      </w:pPr>
      <w:rPr>
        <w:rFonts w:hint="default"/>
      </w:rPr>
    </w:lvl>
    <w:lvl w:ilvl="6" w:tplc="9C4ED2E4">
      <w:numFmt w:val="bullet"/>
      <w:lvlText w:val="•"/>
      <w:lvlJc w:val="left"/>
      <w:pPr>
        <w:ind w:left="5644" w:hanging="540"/>
      </w:pPr>
      <w:rPr>
        <w:rFonts w:hint="default"/>
      </w:rPr>
    </w:lvl>
    <w:lvl w:ilvl="7" w:tplc="1FB26134">
      <w:numFmt w:val="bullet"/>
      <w:lvlText w:val="•"/>
      <w:lvlJc w:val="left"/>
      <w:pPr>
        <w:ind w:left="6573" w:hanging="540"/>
      </w:pPr>
      <w:rPr>
        <w:rFonts w:hint="default"/>
      </w:rPr>
    </w:lvl>
    <w:lvl w:ilvl="8" w:tplc="5E94B0CA">
      <w:numFmt w:val="bullet"/>
      <w:lvlText w:val="•"/>
      <w:lvlJc w:val="left"/>
      <w:pPr>
        <w:ind w:left="7502" w:hanging="540"/>
      </w:pPr>
      <w:rPr>
        <w:rFonts w:hint="default"/>
      </w:rPr>
    </w:lvl>
  </w:abstractNum>
  <w:abstractNum w:abstractNumId="35" w15:restartNumberingAfterBreak="0">
    <w:nsid w:val="6B590E54"/>
    <w:multiLevelType w:val="hybridMultilevel"/>
    <w:tmpl w:val="94E46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AC3D83"/>
    <w:multiLevelType w:val="hybridMultilevel"/>
    <w:tmpl w:val="18BEA618"/>
    <w:lvl w:ilvl="0" w:tplc="D9AE7A12">
      <w:start w:val="1"/>
      <w:numFmt w:val="decimal"/>
      <w:lvlText w:val="%1."/>
      <w:lvlJc w:val="left"/>
      <w:pPr>
        <w:ind w:left="540" w:hanging="540"/>
      </w:pPr>
      <w:rPr>
        <w:rFonts w:ascii="Times New Roman" w:eastAsia="Times New Roman" w:hAnsi="Times New Roman" w:cs="Times New Roman" w:hint="default"/>
        <w:spacing w:val="-8"/>
        <w:w w:val="99"/>
        <w:sz w:val="24"/>
        <w:szCs w:val="24"/>
      </w:rPr>
    </w:lvl>
    <w:lvl w:ilvl="1" w:tplc="81F88F24">
      <w:numFmt w:val="bullet"/>
      <w:lvlText w:val="•"/>
      <w:lvlJc w:val="left"/>
      <w:pPr>
        <w:ind w:left="1000" w:hanging="540"/>
      </w:pPr>
      <w:rPr>
        <w:rFonts w:hint="default"/>
      </w:rPr>
    </w:lvl>
    <w:lvl w:ilvl="2" w:tplc="FC0ACBF0">
      <w:numFmt w:val="bullet"/>
      <w:lvlText w:val="•"/>
      <w:lvlJc w:val="left"/>
      <w:pPr>
        <w:ind w:left="1928" w:hanging="540"/>
      </w:pPr>
      <w:rPr>
        <w:rFonts w:hint="default"/>
      </w:rPr>
    </w:lvl>
    <w:lvl w:ilvl="3" w:tplc="509CE9D0">
      <w:numFmt w:val="bullet"/>
      <w:lvlText w:val="•"/>
      <w:lvlJc w:val="left"/>
      <w:pPr>
        <w:ind w:left="2857" w:hanging="540"/>
      </w:pPr>
      <w:rPr>
        <w:rFonts w:hint="default"/>
      </w:rPr>
    </w:lvl>
    <w:lvl w:ilvl="4" w:tplc="5AF617FE">
      <w:numFmt w:val="bullet"/>
      <w:lvlText w:val="•"/>
      <w:lvlJc w:val="left"/>
      <w:pPr>
        <w:ind w:left="3786" w:hanging="540"/>
      </w:pPr>
      <w:rPr>
        <w:rFonts w:hint="default"/>
      </w:rPr>
    </w:lvl>
    <w:lvl w:ilvl="5" w:tplc="C90C9026">
      <w:numFmt w:val="bullet"/>
      <w:lvlText w:val="•"/>
      <w:lvlJc w:val="left"/>
      <w:pPr>
        <w:ind w:left="4715" w:hanging="540"/>
      </w:pPr>
      <w:rPr>
        <w:rFonts w:hint="default"/>
      </w:rPr>
    </w:lvl>
    <w:lvl w:ilvl="6" w:tplc="9C4ED2E4">
      <w:numFmt w:val="bullet"/>
      <w:lvlText w:val="•"/>
      <w:lvlJc w:val="left"/>
      <w:pPr>
        <w:ind w:left="5644" w:hanging="540"/>
      </w:pPr>
      <w:rPr>
        <w:rFonts w:hint="default"/>
      </w:rPr>
    </w:lvl>
    <w:lvl w:ilvl="7" w:tplc="1FB26134">
      <w:numFmt w:val="bullet"/>
      <w:lvlText w:val="•"/>
      <w:lvlJc w:val="left"/>
      <w:pPr>
        <w:ind w:left="6573" w:hanging="540"/>
      </w:pPr>
      <w:rPr>
        <w:rFonts w:hint="default"/>
      </w:rPr>
    </w:lvl>
    <w:lvl w:ilvl="8" w:tplc="5E94B0CA">
      <w:numFmt w:val="bullet"/>
      <w:lvlText w:val="•"/>
      <w:lvlJc w:val="left"/>
      <w:pPr>
        <w:ind w:left="7502" w:hanging="540"/>
      </w:pPr>
      <w:rPr>
        <w:rFonts w:hint="default"/>
      </w:rPr>
    </w:lvl>
  </w:abstractNum>
  <w:abstractNum w:abstractNumId="37" w15:restartNumberingAfterBreak="0">
    <w:nsid w:val="71F16A1C"/>
    <w:multiLevelType w:val="hybridMultilevel"/>
    <w:tmpl w:val="91340E96"/>
    <w:lvl w:ilvl="0" w:tplc="E090B552">
      <w:start w:val="1"/>
      <w:numFmt w:val="decimal"/>
      <w:lvlText w:val="%1."/>
      <w:lvlJc w:val="left"/>
      <w:pPr>
        <w:ind w:left="706" w:hanging="567"/>
      </w:pPr>
      <w:rPr>
        <w:rFonts w:ascii="Times New Roman" w:eastAsia="Times New Roman" w:hAnsi="Times New Roman" w:cs="Times New Roman" w:hint="default"/>
        <w:spacing w:val="-5"/>
        <w:w w:val="99"/>
        <w:sz w:val="24"/>
        <w:szCs w:val="24"/>
      </w:rPr>
    </w:lvl>
    <w:lvl w:ilvl="1" w:tplc="9EDAAB3A">
      <w:start w:val="1"/>
      <w:numFmt w:val="lowerLetter"/>
      <w:lvlText w:val="%2."/>
      <w:lvlJc w:val="left"/>
      <w:pPr>
        <w:ind w:left="1180" w:hanging="360"/>
      </w:pPr>
      <w:rPr>
        <w:rFonts w:ascii="Times New Roman" w:eastAsia="Times New Roman" w:hAnsi="Times New Roman" w:cs="Times New Roman" w:hint="default"/>
        <w:spacing w:val="-5"/>
        <w:w w:val="99"/>
        <w:sz w:val="24"/>
        <w:szCs w:val="24"/>
      </w:rPr>
    </w:lvl>
    <w:lvl w:ilvl="2" w:tplc="6B5E8B8C">
      <w:start w:val="1"/>
      <w:numFmt w:val="lowerRoman"/>
      <w:lvlText w:val="%3."/>
      <w:lvlJc w:val="left"/>
      <w:pPr>
        <w:ind w:left="1540" w:hanging="308"/>
      </w:pPr>
      <w:rPr>
        <w:rFonts w:ascii="Times New Roman" w:eastAsia="Times New Roman" w:hAnsi="Times New Roman" w:cs="Times New Roman" w:hint="default"/>
        <w:spacing w:val="-5"/>
        <w:w w:val="99"/>
        <w:sz w:val="24"/>
        <w:szCs w:val="24"/>
      </w:rPr>
    </w:lvl>
    <w:lvl w:ilvl="3" w:tplc="F3687AA0">
      <w:numFmt w:val="bullet"/>
      <w:lvlText w:val="•"/>
      <w:lvlJc w:val="left"/>
      <w:pPr>
        <w:ind w:left="1280" w:hanging="308"/>
      </w:pPr>
      <w:rPr>
        <w:rFonts w:hint="default"/>
      </w:rPr>
    </w:lvl>
    <w:lvl w:ilvl="4" w:tplc="BCA48388">
      <w:numFmt w:val="bullet"/>
      <w:lvlText w:val="•"/>
      <w:lvlJc w:val="left"/>
      <w:pPr>
        <w:ind w:left="1300" w:hanging="308"/>
      </w:pPr>
      <w:rPr>
        <w:rFonts w:hint="default"/>
      </w:rPr>
    </w:lvl>
    <w:lvl w:ilvl="5" w:tplc="5E6E0CF8">
      <w:numFmt w:val="bullet"/>
      <w:lvlText w:val="•"/>
      <w:lvlJc w:val="left"/>
      <w:pPr>
        <w:ind w:left="1540" w:hanging="308"/>
      </w:pPr>
      <w:rPr>
        <w:rFonts w:hint="default"/>
      </w:rPr>
    </w:lvl>
    <w:lvl w:ilvl="6" w:tplc="EF645D56">
      <w:numFmt w:val="bullet"/>
      <w:lvlText w:val="•"/>
      <w:lvlJc w:val="left"/>
      <w:pPr>
        <w:ind w:left="1560" w:hanging="308"/>
      </w:pPr>
      <w:rPr>
        <w:rFonts w:hint="default"/>
      </w:rPr>
    </w:lvl>
    <w:lvl w:ilvl="7" w:tplc="03F2D0E2">
      <w:numFmt w:val="bullet"/>
      <w:lvlText w:val="•"/>
      <w:lvlJc w:val="left"/>
      <w:pPr>
        <w:ind w:left="1820" w:hanging="308"/>
      </w:pPr>
      <w:rPr>
        <w:rFonts w:hint="default"/>
      </w:rPr>
    </w:lvl>
    <w:lvl w:ilvl="8" w:tplc="245647B6">
      <w:numFmt w:val="bullet"/>
      <w:lvlText w:val="•"/>
      <w:lvlJc w:val="left"/>
      <w:pPr>
        <w:ind w:left="4280" w:hanging="308"/>
      </w:pPr>
      <w:rPr>
        <w:rFonts w:hint="default"/>
      </w:rPr>
    </w:lvl>
  </w:abstractNum>
  <w:abstractNum w:abstractNumId="38" w15:restartNumberingAfterBreak="0">
    <w:nsid w:val="72476301"/>
    <w:multiLevelType w:val="hybridMultilevel"/>
    <w:tmpl w:val="BB600218"/>
    <w:lvl w:ilvl="0" w:tplc="9EDAAB3A">
      <w:start w:val="1"/>
      <w:numFmt w:val="lowerLetter"/>
      <w:lvlText w:val="%1."/>
      <w:lvlJc w:val="left"/>
      <w:pPr>
        <w:ind w:left="1180" w:hanging="36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9E36B3"/>
    <w:multiLevelType w:val="hybridMultilevel"/>
    <w:tmpl w:val="4F446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9360F1"/>
    <w:multiLevelType w:val="hybridMultilevel"/>
    <w:tmpl w:val="FCF4E36A"/>
    <w:lvl w:ilvl="0" w:tplc="E090B552">
      <w:start w:val="1"/>
      <w:numFmt w:val="decimal"/>
      <w:lvlText w:val="%1."/>
      <w:lvlJc w:val="left"/>
      <w:pPr>
        <w:ind w:left="706" w:hanging="567"/>
      </w:pPr>
      <w:rPr>
        <w:rFonts w:ascii="Times New Roman" w:eastAsia="Times New Roman" w:hAnsi="Times New Roman" w:cs="Times New Roman" w:hint="default"/>
        <w:spacing w:val="-5"/>
        <w:w w:val="99"/>
        <w:sz w:val="24"/>
        <w:szCs w:val="24"/>
      </w:rPr>
    </w:lvl>
    <w:lvl w:ilvl="1" w:tplc="9EDAAB3A">
      <w:start w:val="1"/>
      <w:numFmt w:val="lowerLetter"/>
      <w:lvlText w:val="%2."/>
      <w:lvlJc w:val="left"/>
      <w:pPr>
        <w:ind w:left="1180" w:hanging="360"/>
      </w:pPr>
      <w:rPr>
        <w:rFonts w:ascii="Times New Roman" w:eastAsia="Times New Roman" w:hAnsi="Times New Roman" w:cs="Times New Roman" w:hint="default"/>
        <w:spacing w:val="-5"/>
        <w:w w:val="99"/>
        <w:sz w:val="24"/>
        <w:szCs w:val="24"/>
      </w:rPr>
    </w:lvl>
    <w:lvl w:ilvl="2" w:tplc="6B5E8B8C">
      <w:start w:val="1"/>
      <w:numFmt w:val="lowerRoman"/>
      <w:lvlText w:val="%3."/>
      <w:lvlJc w:val="left"/>
      <w:pPr>
        <w:ind w:left="1540" w:hanging="308"/>
      </w:pPr>
      <w:rPr>
        <w:rFonts w:ascii="Times New Roman" w:eastAsia="Times New Roman" w:hAnsi="Times New Roman" w:cs="Times New Roman" w:hint="default"/>
        <w:spacing w:val="-5"/>
        <w:w w:val="99"/>
        <w:sz w:val="24"/>
        <w:szCs w:val="24"/>
      </w:rPr>
    </w:lvl>
    <w:lvl w:ilvl="3" w:tplc="F3687AA0">
      <w:numFmt w:val="bullet"/>
      <w:lvlText w:val="•"/>
      <w:lvlJc w:val="left"/>
      <w:pPr>
        <w:ind w:left="1280" w:hanging="308"/>
      </w:pPr>
      <w:rPr>
        <w:rFonts w:hint="default"/>
      </w:rPr>
    </w:lvl>
    <w:lvl w:ilvl="4" w:tplc="BCA48388">
      <w:numFmt w:val="bullet"/>
      <w:lvlText w:val="•"/>
      <w:lvlJc w:val="left"/>
      <w:pPr>
        <w:ind w:left="1300" w:hanging="308"/>
      </w:pPr>
      <w:rPr>
        <w:rFonts w:hint="default"/>
      </w:rPr>
    </w:lvl>
    <w:lvl w:ilvl="5" w:tplc="5E6E0CF8">
      <w:numFmt w:val="bullet"/>
      <w:lvlText w:val="•"/>
      <w:lvlJc w:val="left"/>
      <w:pPr>
        <w:ind w:left="1540" w:hanging="308"/>
      </w:pPr>
      <w:rPr>
        <w:rFonts w:hint="default"/>
      </w:rPr>
    </w:lvl>
    <w:lvl w:ilvl="6" w:tplc="EF645D56">
      <w:numFmt w:val="bullet"/>
      <w:lvlText w:val="•"/>
      <w:lvlJc w:val="left"/>
      <w:pPr>
        <w:ind w:left="1560" w:hanging="308"/>
      </w:pPr>
      <w:rPr>
        <w:rFonts w:hint="default"/>
      </w:rPr>
    </w:lvl>
    <w:lvl w:ilvl="7" w:tplc="03F2D0E2">
      <w:numFmt w:val="bullet"/>
      <w:lvlText w:val="•"/>
      <w:lvlJc w:val="left"/>
      <w:pPr>
        <w:ind w:left="1820" w:hanging="308"/>
      </w:pPr>
      <w:rPr>
        <w:rFonts w:hint="default"/>
      </w:rPr>
    </w:lvl>
    <w:lvl w:ilvl="8" w:tplc="245647B6">
      <w:numFmt w:val="bullet"/>
      <w:lvlText w:val="•"/>
      <w:lvlJc w:val="left"/>
      <w:pPr>
        <w:ind w:left="4280" w:hanging="308"/>
      </w:pPr>
      <w:rPr>
        <w:rFonts w:hint="default"/>
      </w:rPr>
    </w:lvl>
  </w:abstractNum>
  <w:abstractNum w:abstractNumId="41" w15:restartNumberingAfterBreak="0">
    <w:nsid w:val="7977200C"/>
    <w:multiLevelType w:val="hybridMultilevel"/>
    <w:tmpl w:val="3CBE9E26"/>
    <w:lvl w:ilvl="0" w:tplc="81A6281A">
      <w:start w:val="1"/>
      <w:numFmt w:val="decimal"/>
      <w:lvlText w:val="(%1)"/>
      <w:lvlJc w:val="left"/>
      <w:pPr>
        <w:ind w:left="1324" w:hanging="452"/>
      </w:pPr>
      <w:rPr>
        <w:rFonts w:ascii="Arial" w:eastAsia="Arial" w:hAnsi="Arial" w:cs="Arial" w:hint="default"/>
        <w:spacing w:val="-1"/>
        <w:w w:val="99"/>
        <w:sz w:val="20"/>
        <w:szCs w:val="20"/>
        <w:lang w:val="en-US" w:eastAsia="en-US" w:bidi="en-US"/>
      </w:rPr>
    </w:lvl>
    <w:lvl w:ilvl="1" w:tplc="AFDACA6A">
      <w:start w:val="1"/>
      <w:numFmt w:val="lowerRoman"/>
      <w:lvlText w:val="(%2)"/>
      <w:lvlJc w:val="left"/>
      <w:pPr>
        <w:ind w:left="1593" w:hanging="269"/>
      </w:pPr>
      <w:rPr>
        <w:rFonts w:ascii="Arial" w:eastAsia="Arial" w:hAnsi="Arial" w:cs="Arial" w:hint="default"/>
        <w:spacing w:val="-2"/>
        <w:w w:val="99"/>
        <w:sz w:val="20"/>
        <w:szCs w:val="20"/>
        <w:lang w:val="en-US" w:eastAsia="en-US" w:bidi="en-US"/>
      </w:rPr>
    </w:lvl>
    <w:lvl w:ilvl="2" w:tplc="C602EF0A">
      <w:numFmt w:val="bullet"/>
      <w:lvlText w:val="•"/>
      <w:lvlJc w:val="left"/>
      <w:pPr>
        <w:ind w:left="1904" w:hanging="269"/>
      </w:pPr>
      <w:rPr>
        <w:rFonts w:hint="default"/>
        <w:lang w:val="en-US" w:eastAsia="en-US" w:bidi="en-US"/>
      </w:rPr>
    </w:lvl>
    <w:lvl w:ilvl="3" w:tplc="0A9A07D2">
      <w:numFmt w:val="bullet"/>
      <w:lvlText w:val="•"/>
      <w:lvlJc w:val="left"/>
      <w:pPr>
        <w:ind w:left="2208" w:hanging="269"/>
      </w:pPr>
      <w:rPr>
        <w:rFonts w:hint="default"/>
        <w:lang w:val="en-US" w:eastAsia="en-US" w:bidi="en-US"/>
      </w:rPr>
    </w:lvl>
    <w:lvl w:ilvl="4" w:tplc="8780A4B6">
      <w:numFmt w:val="bullet"/>
      <w:lvlText w:val="•"/>
      <w:lvlJc w:val="left"/>
      <w:pPr>
        <w:ind w:left="2512" w:hanging="269"/>
      </w:pPr>
      <w:rPr>
        <w:rFonts w:hint="default"/>
        <w:lang w:val="en-US" w:eastAsia="en-US" w:bidi="en-US"/>
      </w:rPr>
    </w:lvl>
    <w:lvl w:ilvl="5" w:tplc="7354BF20">
      <w:numFmt w:val="bullet"/>
      <w:lvlText w:val="•"/>
      <w:lvlJc w:val="left"/>
      <w:pPr>
        <w:ind w:left="2816" w:hanging="269"/>
      </w:pPr>
      <w:rPr>
        <w:rFonts w:hint="default"/>
        <w:lang w:val="en-US" w:eastAsia="en-US" w:bidi="en-US"/>
      </w:rPr>
    </w:lvl>
    <w:lvl w:ilvl="6" w:tplc="A0C08AAC">
      <w:numFmt w:val="bullet"/>
      <w:lvlText w:val="•"/>
      <w:lvlJc w:val="left"/>
      <w:pPr>
        <w:ind w:left="3120" w:hanging="269"/>
      </w:pPr>
      <w:rPr>
        <w:rFonts w:hint="default"/>
        <w:lang w:val="en-US" w:eastAsia="en-US" w:bidi="en-US"/>
      </w:rPr>
    </w:lvl>
    <w:lvl w:ilvl="7" w:tplc="788E7CE4">
      <w:numFmt w:val="bullet"/>
      <w:lvlText w:val="•"/>
      <w:lvlJc w:val="left"/>
      <w:pPr>
        <w:ind w:left="3424" w:hanging="269"/>
      </w:pPr>
      <w:rPr>
        <w:rFonts w:hint="default"/>
        <w:lang w:val="en-US" w:eastAsia="en-US" w:bidi="en-US"/>
      </w:rPr>
    </w:lvl>
    <w:lvl w:ilvl="8" w:tplc="D4CE95D2">
      <w:numFmt w:val="bullet"/>
      <w:lvlText w:val="•"/>
      <w:lvlJc w:val="left"/>
      <w:pPr>
        <w:ind w:left="3728" w:hanging="269"/>
      </w:pPr>
      <w:rPr>
        <w:rFonts w:hint="default"/>
        <w:lang w:val="en-US" w:eastAsia="en-US" w:bidi="en-US"/>
      </w:rPr>
    </w:lvl>
  </w:abstractNum>
  <w:num w:numId="1">
    <w:abstractNumId w:val="6"/>
  </w:num>
  <w:num w:numId="2">
    <w:abstractNumId w:val="10"/>
  </w:num>
  <w:num w:numId="3">
    <w:abstractNumId w:val="26"/>
  </w:num>
  <w:num w:numId="4">
    <w:abstractNumId w:val="30"/>
  </w:num>
  <w:num w:numId="5">
    <w:abstractNumId w:val="9"/>
  </w:num>
  <w:num w:numId="6">
    <w:abstractNumId w:val="0"/>
  </w:num>
  <w:num w:numId="7">
    <w:abstractNumId w:val="3"/>
  </w:num>
  <w:num w:numId="8">
    <w:abstractNumId w:val="35"/>
  </w:num>
  <w:num w:numId="9">
    <w:abstractNumId w:val="39"/>
  </w:num>
  <w:num w:numId="10">
    <w:abstractNumId w:val="20"/>
  </w:num>
  <w:num w:numId="11">
    <w:abstractNumId w:val="16"/>
  </w:num>
  <w:num w:numId="12">
    <w:abstractNumId w:val="27"/>
  </w:num>
  <w:num w:numId="13">
    <w:abstractNumId w:val="5"/>
  </w:num>
  <w:num w:numId="14">
    <w:abstractNumId w:val="18"/>
  </w:num>
  <w:num w:numId="15">
    <w:abstractNumId w:val="31"/>
  </w:num>
  <w:num w:numId="16">
    <w:abstractNumId w:val="33"/>
  </w:num>
  <w:num w:numId="17">
    <w:abstractNumId w:val="12"/>
  </w:num>
  <w:num w:numId="18">
    <w:abstractNumId w:val="22"/>
  </w:num>
  <w:num w:numId="19">
    <w:abstractNumId w:val="11"/>
  </w:num>
  <w:num w:numId="20">
    <w:abstractNumId w:val="2"/>
  </w:num>
  <w:num w:numId="21">
    <w:abstractNumId w:val="40"/>
  </w:num>
  <w:num w:numId="22">
    <w:abstractNumId w:val="38"/>
  </w:num>
  <w:num w:numId="23">
    <w:abstractNumId w:val="25"/>
  </w:num>
  <w:num w:numId="24">
    <w:abstractNumId w:val="37"/>
  </w:num>
  <w:num w:numId="25">
    <w:abstractNumId w:val="23"/>
  </w:num>
  <w:num w:numId="26">
    <w:abstractNumId w:val="4"/>
  </w:num>
  <w:num w:numId="27">
    <w:abstractNumId w:val="32"/>
  </w:num>
  <w:num w:numId="28">
    <w:abstractNumId w:val="24"/>
  </w:num>
  <w:num w:numId="29">
    <w:abstractNumId w:val="14"/>
  </w:num>
  <w:num w:numId="30">
    <w:abstractNumId w:val="19"/>
  </w:num>
  <w:num w:numId="31">
    <w:abstractNumId w:val="17"/>
  </w:num>
  <w:num w:numId="32">
    <w:abstractNumId w:val="28"/>
  </w:num>
  <w:num w:numId="33">
    <w:abstractNumId w:val="1"/>
  </w:num>
  <w:num w:numId="34">
    <w:abstractNumId w:val="7"/>
  </w:num>
  <w:num w:numId="35">
    <w:abstractNumId w:val="34"/>
  </w:num>
  <w:num w:numId="36">
    <w:abstractNumId w:val="8"/>
  </w:num>
  <w:num w:numId="37">
    <w:abstractNumId w:val="13"/>
  </w:num>
  <w:num w:numId="38">
    <w:abstractNumId w:val="29"/>
  </w:num>
  <w:num w:numId="39">
    <w:abstractNumId w:val="21"/>
  </w:num>
  <w:num w:numId="40">
    <w:abstractNumId w:val="15"/>
  </w:num>
  <w:num w:numId="41">
    <w:abstractNumId w:val="3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C0"/>
    <w:rsid w:val="00002593"/>
    <w:rsid w:val="00024BF8"/>
    <w:rsid w:val="00027E40"/>
    <w:rsid w:val="00037F83"/>
    <w:rsid w:val="00042BB9"/>
    <w:rsid w:val="000469F6"/>
    <w:rsid w:val="000475F1"/>
    <w:rsid w:val="00050208"/>
    <w:rsid w:val="00054EBF"/>
    <w:rsid w:val="00057E6E"/>
    <w:rsid w:val="00063CC8"/>
    <w:rsid w:val="00084D8C"/>
    <w:rsid w:val="00094A04"/>
    <w:rsid w:val="00095059"/>
    <w:rsid w:val="000A4988"/>
    <w:rsid w:val="000A4D1D"/>
    <w:rsid w:val="000B2A5E"/>
    <w:rsid w:val="000D25E3"/>
    <w:rsid w:val="000D62CA"/>
    <w:rsid w:val="000F1F60"/>
    <w:rsid w:val="000F384F"/>
    <w:rsid w:val="000F5985"/>
    <w:rsid w:val="00101D55"/>
    <w:rsid w:val="0011746D"/>
    <w:rsid w:val="00125A80"/>
    <w:rsid w:val="0012698D"/>
    <w:rsid w:val="001310B2"/>
    <w:rsid w:val="0013455B"/>
    <w:rsid w:val="001374EE"/>
    <w:rsid w:val="001403F4"/>
    <w:rsid w:val="0014574D"/>
    <w:rsid w:val="00150EDB"/>
    <w:rsid w:val="0017375E"/>
    <w:rsid w:val="0017585A"/>
    <w:rsid w:val="00183361"/>
    <w:rsid w:val="00193DE7"/>
    <w:rsid w:val="001B0244"/>
    <w:rsid w:val="001B1AE8"/>
    <w:rsid w:val="001B3BC1"/>
    <w:rsid w:val="001B3F03"/>
    <w:rsid w:val="001B45CC"/>
    <w:rsid w:val="001C700D"/>
    <w:rsid w:val="001D43B4"/>
    <w:rsid w:val="001D4534"/>
    <w:rsid w:val="001E3DA3"/>
    <w:rsid w:val="001F4FA6"/>
    <w:rsid w:val="00207F4F"/>
    <w:rsid w:val="0022676E"/>
    <w:rsid w:val="00233217"/>
    <w:rsid w:val="00235EB5"/>
    <w:rsid w:val="00243E69"/>
    <w:rsid w:val="00264432"/>
    <w:rsid w:val="00266113"/>
    <w:rsid w:val="00271CD1"/>
    <w:rsid w:val="00275B05"/>
    <w:rsid w:val="0028004B"/>
    <w:rsid w:val="00294D1C"/>
    <w:rsid w:val="002A30A5"/>
    <w:rsid w:val="002A6018"/>
    <w:rsid w:val="002B2660"/>
    <w:rsid w:val="002B4E1C"/>
    <w:rsid w:val="002C00E4"/>
    <w:rsid w:val="002C31E2"/>
    <w:rsid w:val="002C3823"/>
    <w:rsid w:val="002D0725"/>
    <w:rsid w:val="002D3BD8"/>
    <w:rsid w:val="002E050F"/>
    <w:rsid w:val="002E18E7"/>
    <w:rsid w:val="00310ADB"/>
    <w:rsid w:val="00323B5E"/>
    <w:rsid w:val="003269BC"/>
    <w:rsid w:val="00341C69"/>
    <w:rsid w:val="00356A98"/>
    <w:rsid w:val="003850D2"/>
    <w:rsid w:val="003A0DFD"/>
    <w:rsid w:val="003A4805"/>
    <w:rsid w:val="003A50C6"/>
    <w:rsid w:val="003B3AEC"/>
    <w:rsid w:val="003C2A5E"/>
    <w:rsid w:val="003C56D0"/>
    <w:rsid w:val="003C618D"/>
    <w:rsid w:val="00406495"/>
    <w:rsid w:val="00416B21"/>
    <w:rsid w:val="0042033A"/>
    <w:rsid w:val="00425A13"/>
    <w:rsid w:val="00425CBC"/>
    <w:rsid w:val="0043737B"/>
    <w:rsid w:val="0044546D"/>
    <w:rsid w:val="004661E1"/>
    <w:rsid w:val="0047264A"/>
    <w:rsid w:val="00493E26"/>
    <w:rsid w:val="00496510"/>
    <w:rsid w:val="004A389B"/>
    <w:rsid w:val="004B2EC3"/>
    <w:rsid w:val="004C4B4E"/>
    <w:rsid w:val="004D4066"/>
    <w:rsid w:val="004E0CB5"/>
    <w:rsid w:val="004E5CB6"/>
    <w:rsid w:val="004F2E6A"/>
    <w:rsid w:val="004F6C69"/>
    <w:rsid w:val="0050467D"/>
    <w:rsid w:val="005046F7"/>
    <w:rsid w:val="0050611F"/>
    <w:rsid w:val="005203AB"/>
    <w:rsid w:val="00521C10"/>
    <w:rsid w:val="00523DEB"/>
    <w:rsid w:val="00524DBF"/>
    <w:rsid w:val="00525E41"/>
    <w:rsid w:val="0053344F"/>
    <w:rsid w:val="0053408C"/>
    <w:rsid w:val="00535F12"/>
    <w:rsid w:val="0053615E"/>
    <w:rsid w:val="00547F7D"/>
    <w:rsid w:val="00554A12"/>
    <w:rsid w:val="00596963"/>
    <w:rsid w:val="005B41D0"/>
    <w:rsid w:val="005C2B63"/>
    <w:rsid w:val="005C5701"/>
    <w:rsid w:val="005D4B34"/>
    <w:rsid w:val="005E109A"/>
    <w:rsid w:val="005F2E3E"/>
    <w:rsid w:val="005F5227"/>
    <w:rsid w:val="005F634F"/>
    <w:rsid w:val="00612113"/>
    <w:rsid w:val="00616FD3"/>
    <w:rsid w:val="00617412"/>
    <w:rsid w:val="00627517"/>
    <w:rsid w:val="00632108"/>
    <w:rsid w:val="00632E2A"/>
    <w:rsid w:val="00646E83"/>
    <w:rsid w:val="0067019F"/>
    <w:rsid w:val="006758B5"/>
    <w:rsid w:val="00676382"/>
    <w:rsid w:val="006805CE"/>
    <w:rsid w:val="00693128"/>
    <w:rsid w:val="00695D33"/>
    <w:rsid w:val="006A7712"/>
    <w:rsid w:val="006B3FF7"/>
    <w:rsid w:val="006B418B"/>
    <w:rsid w:val="006D1D1B"/>
    <w:rsid w:val="006D2A16"/>
    <w:rsid w:val="006E1C15"/>
    <w:rsid w:val="006E1F8B"/>
    <w:rsid w:val="006F1AFE"/>
    <w:rsid w:val="00716102"/>
    <w:rsid w:val="007212A4"/>
    <w:rsid w:val="00726507"/>
    <w:rsid w:val="007320C6"/>
    <w:rsid w:val="00734D6D"/>
    <w:rsid w:val="00744646"/>
    <w:rsid w:val="007457C4"/>
    <w:rsid w:val="0075207E"/>
    <w:rsid w:val="00763C42"/>
    <w:rsid w:val="00763D09"/>
    <w:rsid w:val="007747FA"/>
    <w:rsid w:val="00782760"/>
    <w:rsid w:val="00786F80"/>
    <w:rsid w:val="00787F54"/>
    <w:rsid w:val="007930D1"/>
    <w:rsid w:val="007A5881"/>
    <w:rsid w:val="007B49D9"/>
    <w:rsid w:val="007D1B24"/>
    <w:rsid w:val="007D398C"/>
    <w:rsid w:val="007E719C"/>
    <w:rsid w:val="008046FC"/>
    <w:rsid w:val="00804722"/>
    <w:rsid w:val="00832BDD"/>
    <w:rsid w:val="008333FC"/>
    <w:rsid w:val="00841439"/>
    <w:rsid w:val="00864E84"/>
    <w:rsid w:val="0086748E"/>
    <w:rsid w:val="00871236"/>
    <w:rsid w:val="00871E2A"/>
    <w:rsid w:val="008728E7"/>
    <w:rsid w:val="00887467"/>
    <w:rsid w:val="00895D0E"/>
    <w:rsid w:val="0089763F"/>
    <w:rsid w:val="008A088B"/>
    <w:rsid w:val="008A0AFE"/>
    <w:rsid w:val="008A461A"/>
    <w:rsid w:val="008B74C2"/>
    <w:rsid w:val="008B7C41"/>
    <w:rsid w:val="008D23D8"/>
    <w:rsid w:val="008D3A37"/>
    <w:rsid w:val="008F4A15"/>
    <w:rsid w:val="00910C11"/>
    <w:rsid w:val="00911D90"/>
    <w:rsid w:val="00925653"/>
    <w:rsid w:val="00936018"/>
    <w:rsid w:val="00962926"/>
    <w:rsid w:val="00987D50"/>
    <w:rsid w:val="009B2930"/>
    <w:rsid w:val="009B6F17"/>
    <w:rsid w:val="009C0E6D"/>
    <w:rsid w:val="009C3297"/>
    <w:rsid w:val="009D0769"/>
    <w:rsid w:val="009D76ED"/>
    <w:rsid w:val="009F07D3"/>
    <w:rsid w:val="009F39D2"/>
    <w:rsid w:val="00A0084F"/>
    <w:rsid w:val="00A045B8"/>
    <w:rsid w:val="00A1651A"/>
    <w:rsid w:val="00A32F58"/>
    <w:rsid w:val="00A51EF4"/>
    <w:rsid w:val="00A700BB"/>
    <w:rsid w:val="00A71D93"/>
    <w:rsid w:val="00A829EC"/>
    <w:rsid w:val="00A85F8B"/>
    <w:rsid w:val="00A90999"/>
    <w:rsid w:val="00A927EA"/>
    <w:rsid w:val="00A96064"/>
    <w:rsid w:val="00AA4ED7"/>
    <w:rsid w:val="00AC10CD"/>
    <w:rsid w:val="00AE1449"/>
    <w:rsid w:val="00AE22DD"/>
    <w:rsid w:val="00AF0A67"/>
    <w:rsid w:val="00AF1118"/>
    <w:rsid w:val="00AF4DDD"/>
    <w:rsid w:val="00B007EA"/>
    <w:rsid w:val="00B01088"/>
    <w:rsid w:val="00B02567"/>
    <w:rsid w:val="00B1108F"/>
    <w:rsid w:val="00B158FF"/>
    <w:rsid w:val="00B23B7B"/>
    <w:rsid w:val="00B24D27"/>
    <w:rsid w:val="00B450D6"/>
    <w:rsid w:val="00B4663B"/>
    <w:rsid w:val="00B561D5"/>
    <w:rsid w:val="00B652D4"/>
    <w:rsid w:val="00B76040"/>
    <w:rsid w:val="00B834DD"/>
    <w:rsid w:val="00B96943"/>
    <w:rsid w:val="00BA401B"/>
    <w:rsid w:val="00BA5A65"/>
    <w:rsid w:val="00BA5E94"/>
    <w:rsid w:val="00BB193F"/>
    <w:rsid w:val="00BC4361"/>
    <w:rsid w:val="00BC5DA9"/>
    <w:rsid w:val="00BD1EC7"/>
    <w:rsid w:val="00BE7AA0"/>
    <w:rsid w:val="00BF4C8D"/>
    <w:rsid w:val="00C03624"/>
    <w:rsid w:val="00C21C4F"/>
    <w:rsid w:val="00C36A56"/>
    <w:rsid w:val="00C425D2"/>
    <w:rsid w:val="00C44822"/>
    <w:rsid w:val="00C561E9"/>
    <w:rsid w:val="00C642F6"/>
    <w:rsid w:val="00C764D5"/>
    <w:rsid w:val="00C972D5"/>
    <w:rsid w:val="00C97965"/>
    <w:rsid w:val="00CA2575"/>
    <w:rsid w:val="00CB0F02"/>
    <w:rsid w:val="00CC03E8"/>
    <w:rsid w:val="00CC0F6F"/>
    <w:rsid w:val="00CC21E9"/>
    <w:rsid w:val="00CD1F01"/>
    <w:rsid w:val="00CD201B"/>
    <w:rsid w:val="00CD4830"/>
    <w:rsid w:val="00CF33DA"/>
    <w:rsid w:val="00CF6C89"/>
    <w:rsid w:val="00D004CF"/>
    <w:rsid w:val="00D2256E"/>
    <w:rsid w:val="00D266C3"/>
    <w:rsid w:val="00D2693B"/>
    <w:rsid w:val="00D3721C"/>
    <w:rsid w:val="00D46406"/>
    <w:rsid w:val="00D47141"/>
    <w:rsid w:val="00D476FF"/>
    <w:rsid w:val="00D52BBB"/>
    <w:rsid w:val="00D6439F"/>
    <w:rsid w:val="00D73131"/>
    <w:rsid w:val="00D81479"/>
    <w:rsid w:val="00D87952"/>
    <w:rsid w:val="00D93958"/>
    <w:rsid w:val="00DA257D"/>
    <w:rsid w:val="00DB0EE1"/>
    <w:rsid w:val="00DB4133"/>
    <w:rsid w:val="00DB4E27"/>
    <w:rsid w:val="00DB6B1E"/>
    <w:rsid w:val="00DC1A1D"/>
    <w:rsid w:val="00DD2822"/>
    <w:rsid w:val="00E04E54"/>
    <w:rsid w:val="00E22EFD"/>
    <w:rsid w:val="00E26335"/>
    <w:rsid w:val="00E301B0"/>
    <w:rsid w:val="00E344EE"/>
    <w:rsid w:val="00E36831"/>
    <w:rsid w:val="00E427B5"/>
    <w:rsid w:val="00E42A6F"/>
    <w:rsid w:val="00E83587"/>
    <w:rsid w:val="00EA3392"/>
    <w:rsid w:val="00EB1205"/>
    <w:rsid w:val="00EB37D8"/>
    <w:rsid w:val="00EB61A9"/>
    <w:rsid w:val="00EC56BF"/>
    <w:rsid w:val="00ED2441"/>
    <w:rsid w:val="00ED5AAA"/>
    <w:rsid w:val="00EE1F35"/>
    <w:rsid w:val="00EE4EBA"/>
    <w:rsid w:val="00EF1C61"/>
    <w:rsid w:val="00EF3732"/>
    <w:rsid w:val="00F01B93"/>
    <w:rsid w:val="00F02391"/>
    <w:rsid w:val="00F07262"/>
    <w:rsid w:val="00F10BC0"/>
    <w:rsid w:val="00F1253A"/>
    <w:rsid w:val="00F139AA"/>
    <w:rsid w:val="00F15346"/>
    <w:rsid w:val="00F161A4"/>
    <w:rsid w:val="00F24981"/>
    <w:rsid w:val="00F274B4"/>
    <w:rsid w:val="00F37308"/>
    <w:rsid w:val="00F44220"/>
    <w:rsid w:val="00F47FE1"/>
    <w:rsid w:val="00F50174"/>
    <w:rsid w:val="00F54035"/>
    <w:rsid w:val="00F60E9E"/>
    <w:rsid w:val="00F6290A"/>
    <w:rsid w:val="00F67CAF"/>
    <w:rsid w:val="00F715E0"/>
    <w:rsid w:val="00F74AFF"/>
    <w:rsid w:val="00F804F6"/>
    <w:rsid w:val="00F82FE4"/>
    <w:rsid w:val="00F836E3"/>
    <w:rsid w:val="00F8407E"/>
    <w:rsid w:val="00F85772"/>
    <w:rsid w:val="00FA2B5D"/>
    <w:rsid w:val="00FB05E4"/>
    <w:rsid w:val="00FB1A9E"/>
    <w:rsid w:val="00FD28F3"/>
    <w:rsid w:val="00FD4A36"/>
    <w:rsid w:val="00FE4E87"/>
    <w:rsid w:val="00FF4927"/>
    <w:rsid w:val="00FF6EC0"/>
    <w:rsid w:val="00FF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95D67FB"/>
  <w15:docId w15:val="{EB1E97B6-8A5D-42BE-A0C8-B21F2C8D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EC0"/>
  </w:style>
  <w:style w:type="paragraph" w:styleId="Footer">
    <w:name w:val="footer"/>
    <w:basedOn w:val="Normal"/>
    <w:link w:val="FooterChar"/>
    <w:uiPriority w:val="99"/>
    <w:unhideWhenUsed/>
    <w:rsid w:val="00FF6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EC0"/>
  </w:style>
  <w:style w:type="paragraph" w:styleId="BalloonText">
    <w:name w:val="Balloon Text"/>
    <w:basedOn w:val="Normal"/>
    <w:link w:val="BalloonTextChar"/>
    <w:uiPriority w:val="99"/>
    <w:semiHidden/>
    <w:unhideWhenUsed/>
    <w:rsid w:val="00FF6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EC0"/>
    <w:rPr>
      <w:rFonts w:ascii="Tahoma" w:hAnsi="Tahoma" w:cs="Tahoma"/>
      <w:sz w:val="16"/>
      <w:szCs w:val="16"/>
    </w:rPr>
  </w:style>
  <w:style w:type="table" w:styleId="TableGrid">
    <w:name w:val="Table Grid"/>
    <w:basedOn w:val="TableNormal"/>
    <w:uiPriority w:val="59"/>
    <w:rsid w:val="00FF6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6EC0"/>
    <w:rPr>
      <w:color w:val="0000FF" w:themeColor="hyperlink"/>
      <w:u w:val="single"/>
    </w:rPr>
  </w:style>
  <w:style w:type="paragraph" w:styleId="NoSpacing">
    <w:name w:val="No Spacing"/>
    <w:uiPriority w:val="1"/>
    <w:qFormat/>
    <w:rsid w:val="00FF6EC0"/>
    <w:pPr>
      <w:spacing w:after="0" w:line="240" w:lineRule="auto"/>
    </w:pPr>
  </w:style>
  <w:style w:type="paragraph" w:styleId="ListParagraph">
    <w:name w:val="List Paragraph"/>
    <w:basedOn w:val="Normal"/>
    <w:uiPriority w:val="1"/>
    <w:qFormat/>
    <w:rsid w:val="00FF6EC0"/>
    <w:pPr>
      <w:ind w:left="720"/>
      <w:contextualSpacing/>
    </w:pPr>
  </w:style>
  <w:style w:type="character" w:styleId="CommentReference">
    <w:name w:val="annotation reference"/>
    <w:basedOn w:val="DefaultParagraphFont"/>
    <w:uiPriority w:val="99"/>
    <w:semiHidden/>
    <w:unhideWhenUsed/>
    <w:rsid w:val="00FF6EC0"/>
    <w:rPr>
      <w:sz w:val="16"/>
      <w:szCs w:val="16"/>
    </w:rPr>
  </w:style>
  <w:style w:type="paragraph" w:styleId="CommentText">
    <w:name w:val="annotation text"/>
    <w:basedOn w:val="Normal"/>
    <w:link w:val="CommentTextChar"/>
    <w:uiPriority w:val="99"/>
    <w:semiHidden/>
    <w:unhideWhenUsed/>
    <w:rsid w:val="00FF6EC0"/>
    <w:pPr>
      <w:spacing w:line="240" w:lineRule="auto"/>
    </w:pPr>
    <w:rPr>
      <w:sz w:val="20"/>
      <w:szCs w:val="20"/>
    </w:rPr>
  </w:style>
  <w:style w:type="character" w:customStyle="1" w:styleId="CommentTextChar">
    <w:name w:val="Comment Text Char"/>
    <w:basedOn w:val="DefaultParagraphFont"/>
    <w:link w:val="CommentText"/>
    <w:uiPriority w:val="99"/>
    <w:semiHidden/>
    <w:rsid w:val="00FF6EC0"/>
    <w:rPr>
      <w:sz w:val="20"/>
      <w:szCs w:val="20"/>
    </w:rPr>
  </w:style>
  <w:style w:type="paragraph" w:styleId="CommentSubject">
    <w:name w:val="annotation subject"/>
    <w:basedOn w:val="CommentText"/>
    <w:next w:val="CommentText"/>
    <w:link w:val="CommentSubjectChar"/>
    <w:uiPriority w:val="99"/>
    <w:semiHidden/>
    <w:unhideWhenUsed/>
    <w:rsid w:val="00FF6EC0"/>
    <w:rPr>
      <w:b/>
      <w:bCs/>
    </w:rPr>
  </w:style>
  <w:style w:type="character" w:customStyle="1" w:styleId="CommentSubjectChar">
    <w:name w:val="Comment Subject Char"/>
    <w:basedOn w:val="CommentTextChar"/>
    <w:link w:val="CommentSubject"/>
    <w:uiPriority w:val="99"/>
    <w:semiHidden/>
    <w:rsid w:val="00FF6EC0"/>
    <w:rPr>
      <w:b/>
      <w:bCs/>
      <w:sz w:val="20"/>
      <w:szCs w:val="20"/>
    </w:rPr>
  </w:style>
  <w:style w:type="paragraph" w:styleId="BodyText">
    <w:name w:val="Body Text"/>
    <w:basedOn w:val="Normal"/>
    <w:link w:val="BodyTextChar"/>
    <w:uiPriority w:val="1"/>
    <w:qFormat/>
    <w:rsid w:val="00FF6EC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F6E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rcvm.ca/Documents/2018/54df3aa0-06d8-48fd-8e93-ce469be1c650_fr.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crcvm.ca/Documents/2018/0c7abc99-8eee-4cb3-bbf2-b021cef996b6_fr.pdf" TargetMode="External"/><Relationship Id="rId4" Type="http://schemas.openxmlformats.org/officeDocument/2006/relationships/styles" Target="styles.xml"/><Relationship Id="rId9" Type="http://schemas.openxmlformats.org/officeDocument/2006/relationships/hyperlink" Target="file://idafp01/Regulatory%20Policy/2016%20-%20PROJECTS%20DATABASE/Active%20Matters/16-005%20-%20PLR/5%20-%20Summer%202019%20Publication/7%20-%20CSA%20package/1%20-%20PLR%20Package/French%20version/www.ocrcvm.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d460029c-75c2-4a51-84ce-774907781467" origin="userSelected">
  <element uid="3fc9b5f7-87bb-4825-9588-114e31a1ecf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68AC03F81F6E4184B6D028B1120DB7" ma:contentTypeVersion="6" ma:contentTypeDescription="Create a new document." ma:contentTypeScope="" ma:versionID="af17d4342b6bc040f0fa12424ae5c8af">
  <xsd:schema xmlns:xsd="http://www.w3.org/2001/XMLSchema" xmlns:xs="http://www.w3.org/2001/XMLSchema" xmlns:p="http://schemas.microsoft.com/office/2006/metadata/properties" xmlns:ns2="246881c2-6a4d-4eff-85f6-40b64d536cc8" xmlns:ns3="54d51461-6ccb-49fc-87c1-62a00e6831fb" targetNamespace="http://schemas.microsoft.com/office/2006/metadata/properties" ma:root="true" ma:fieldsID="8cb2b027885700a8c537a0657bef7333" ns2:_="" ns3:_="">
    <xsd:import namespace="246881c2-6a4d-4eff-85f6-40b64d536cc8"/>
    <xsd:import namespace="54d51461-6ccb-49fc-87c1-62a00e6831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881c2-6a4d-4eff-85f6-40b64d536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d51461-6ccb-49fc-87c1-62a00e6831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6C593-C707-41E7-B52B-310F225083F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A15F96E-48B5-4986-99A3-D9704884A0EE}">
  <ds:schemaRefs>
    <ds:schemaRef ds:uri="http://schemas.openxmlformats.org/officeDocument/2006/bibliography"/>
  </ds:schemaRefs>
</ds:datastoreItem>
</file>

<file path=customXml/itemProps3.xml><?xml version="1.0" encoding="utf-8"?>
<ds:datastoreItem xmlns:ds="http://schemas.openxmlformats.org/officeDocument/2006/customXml" ds:itemID="{224B2AFD-977E-46E3-A655-95A50E53C0EA}"/>
</file>

<file path=customXml/itemProps4.xml><?xml version="1.0" encoding="utf-8"?>
<ds:datastoreItem xmlns:ds="http://schemas.openxmlformats.org/officeDocument/2006/customXml" ds:itemID="{B2E8B908-59B2-4F1F-BC01-8AD2E0299C28}"/>
</file>

<file path=customXml/itemProps5.xml><?xml version="1.0" encoding="utf-8"?>
<ds:datastoreItem xmlns:ds="http://schemas.openxmlformats.org/officeDocument/2006/customXml" ds:itemID="{03B10EAD-BBDE-4FB9-9AB0-778D6D1EB07A}"/>
</file>

<file path=docProps/app.xml><?xml version="1.0" encoding="utf-8"?>
<Properties xmlns="http://schemas.openxmlformats.org/officeDocument/2006/extended-properties" xmlns:vt="http://schemas.openxmlformats.org/officeDocument/2006/docPropsVTypes">
  <Template>Normal</Template>
  <TotalTime>1</TotalTime>
  <Pages>17</Pages>
  <Words>5234</Words>
  <Characters>33499</Characters>
  <Application>Microsoft Office Word</Application>
  <DocSecurity>4</DocSecurity>
  <Lines>1970</Lines>
  <Paragraphs>922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IIROC</Company>
  <LinksUpToDate>false</LinksUpToDate>
  <CharactersWithSpaces>37811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A. Cooper</dc:creator>
  <cp:keywords>[WVTNinternal]</cp:keywords>
  <dc:description/>
  <cp:lastModifiedBy>Diane Raulino</cp:lastModifiedBy>
  <cp:revision>2</cp:revision>
  <cp:lastPrinted>2019-02-13T20:38:00Z</cp:lastPrinted>
  <dcterms:created xsi:type="dcterms:W3CDTF">2019-08-19T17:41:00Z</dcterms:created>
  <dcterms:modified xsi:type="dcterms:W3CDTF">2019-08-19T17:41:00Z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61cdbcc0-9269-462c-b2fd-f853c655c1db</vt:lpwstr>
  </property>
  <property fmtid="{D5CDD505-2E9C-101B-9397-08002B2CF9AE}" pid="3" name="bjSaver">
    <vt:lpwstr>cgBurISh3pAiDJrnlaqhFYTA+PI2Ya/y</vt:lpwstr>
  </property>
  <property fmtid="{D5CDD505-2E9C-101B-9397-08002B2CF9AE}" pid="4" name="bjDocumentLabelXML">
    <vt:lpwstr>&lt;?xml version="1.0" encoding="us-ascii"?&gt;&lt;sisl xmlns:xsi="http://www.w3.org/2001/XMLSchema-instance" xmlns:xsd="http://www.w3.org/2001/XMLSchema" sislVersion="0" policy="d460029c-75c2-4a51-84ce-774907781467" origin="userSelected" xmlns="http://www.boldonj</vt:lpwstr>
  </property>
  <property fmtid="{D5CDD505-2E9C-101B-9397-08002B2CF9AE}" pid="5" name="bjDocumentLabelXML-0">
    <vt:lpwstr>ames.com/2008/01/sie/internal/label"&gt;&lt;element uid="3fc9b5f7-87bb-4825-9588-114e31a1ecf4" value="" /&gt;&lt;/sisl&gt;</vt:lpwstr>
  </property>
  <property fmtid="{D5CDD505-2E9C-101B-9397-08002B2CF9AE}" pid="6" name="bjDocumentSecurityLabel">
    <vt:lpwstr>Internal Use</vt:lpwstr>
  </property>
  <property fmtid="{D5CDD505-2E9C-101B-9397-08002B2CF9AE}" pid="7" name="ContentTypeId">
    <vt:lpwstr>0x010100BE68AC03F81F6E4184B6D028B1120DB7</vt:lpwstr>
  </property>
  <property fmtid="{D5CDD505-2E9C-101B-9397-08002B2CF9AE}" pid="8" name="Order">
    <vt:r8>100</vt:r8>
  </property>
</Properties>
</file>